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0E29C" w14:textId="77777777" w:rsidR="008F1A4F" w:rsidRDefault="008F1A4F" w:rsidP="00D10EA2">
      <w:pPr>
        <w:jc w:val="center"/>
        <w:rPr>
          <w:rFonts w:ascii="Times New Roman" w:hAnsi="Times New Roman" w:cs="Times New Roman"/>
          <w:b/>
          <w:color w:val="000000"/>
          <w:sz w:val="24"/>
          <w:szCs w:val="24"/>
        </w:rPr>
      </w:pPr>
      <w:r w:rsidRPr="00D10EA2">
        <w:rPr>
          <w:rFonts w:ascii="Times New Roman" w:hAnsi="Times New Roman" w:cs="Times New Roman"/>
          <w:b/>
          <w:color w:val="000000"/>
          <w:sz w:val="24"/>
          <w:szCs w:val="24"/>
        </w:rPr>
        <w:t xml:space="preserve">OPEN REQUEST FOR QUALIFICATIONS </w:t>
      </w:r>
      <w:r w:rsidRPr="00D10EA2">
        <w:rPr>
          <w:rFonts w:ascii="Times New Roman" w:hAnsi="Times New Roman" w:cs="Times New Roman"/>
          <w:b/>
          <w:color w:val="000000"/>
          <w:sz w:val="24"/>
          <w:szCs w:val="24"/>
        </w:rPr>
        <w:br/>
      </w:r>
      <w:r w:rsidR="00396122">
        <w:rPr>
          <w:rFonts w:ascii="Times New Roman" w:hAnsi="Times New Roman" w:cs="Times New Roman"/>
          <w:b/>
          <w:color w:val="000000"/>
          <w:sz w:val="24"/>
          <w:szCs w:val="24"/>
        </w:rPr>
        <w:t xml:space="preserve">FOR </w:t>
      </w:r>
      <w:r w:rsidRPr="00D10EA2">
        <w:rPr>
          <w:rFonts w:ascii="Times New Roman" w:hAnsi="Times New Roman" w:cs="Times New Roman"/>
          <w:b/>
          <w:color w:val="000000"/>
          <w:sz w:val="24"/>
          <w:szCs w:val="24"/>
        </w:rPr>
        <w:t>PROFESSIONAL SERVICES</w:t>
      </w:r>
      <w:r w:rsidR="00396122">
        <w:rPr>
          <w:rFonts w:ascii="Times New Roman" w:hAnsi="Times New Roman" w:cs="Times New Roman"/>
          <w:b/>
          <w:color w:val="000000"/>
          <w:sz w:val="24"/>
          <w:szCs w:val="24"/>
        </w:rPr>
        <w:t xml:space="preserve"> FROM </w:t>
      </w:r>
      <w:r w:rsidR="006100BC">
        <w:rPr>
          <w:rFonts w:ascii="Times New Roman" w:hAnsi="Times New Roman" w:cs="Times New Roman"/>
          <w:b/>
          <w:color w:val="000000"/>
          <w:sz w:val="24"/>
          <w:szCs w:val="24"/>
        </w:rPr>
        <w:t>MBE</w:t>
      </w:r>
      <w:r w:rsidR="00396122">
        <w:rPr>
          <w:rFonts w:ascii="Times New Roman" w:hAnsi="Times New Roman" w:cs="Times New Roman"/>
          <w:b/>
          <w:color w:val="000000"/>
          <w:sz w:val="24"/>
          <w:szCs w:val="24"/>
        </w:rPr>
        <w:t xml:space="preserve"> AND WBE FIRMS</w:t>
      </w:r>
    </w:p>
    <w:p w14:paraId="35C25BC8" w14:textId="77777777" w:rsidR="00396122" w:rsidRPr="00D10EA2" w:rsidRDefault="00396122" w:rsidP="00D10EA2">
      <w:pPr>
        <w:jc w:val="center"/>
        <w:rPr>
          <w:rFonts w:ascii="Times New Roman" w:hAnsi="Times New Roman" w:cs="Times New Roman"/>
          <w:b/>
          <w:color w:val="000000"/>
          <w:sz w:val="24"/>
          <w:szCs w:val="24"/>
        </w:rPr>
      </w:pPr>
    </w:p>
    <w:p w14:paraId="7C47CAB7" w14:textId="5B83D831" w:rsidR="00376674" w:rsidRDefault="00376674" w:rsidP="00D10EA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In an effort to be more equitable and inclusive</w:t>
      </w:r>
      <w:r w:rsidR="001B44B8">
        <w:rPr>
          <w:rFonts w:ascii="Times New Roman" w:hAnsi="Times New Roman" w:cs="Times New Roman"/>
          <w:color w:val="000000"/>
          <w:sz w:val="24"/>
          <w:szCs w:val="24"/>
        </w:rPr>
        <w:t xml:space="preserve"> in the contracting process</w:t>
      </w:r>
      <w:r>
        <w:rPr>
          <w:rFonts w:ascii="Times New Roman" w:hAnsi="Times New Roman" w:cs="Times New Roman"/>
          <w:color w:val="000000"/>
          <w:sz w:val="24"/>
          <w:szCs w:val="24"/>
        </w:rPr>
        <w:t xml:space="preserve">, </w:t>
      </w:r>
      <w:r w:rsidR="001B44B8">
        <w:rPr>
          <w:rFonts w:ascii="Times New Roman" w:hAnsi="Times New Roman" w:cs="Times New Roman"/>
          <w:color w:val="000000"/>
          <w:sz w:val="24"/>
          <w:szCs w:val="24"/>
        </w:rPr>
        <w:t>t</w:t>
      </w:r>
      <w:r w:rsidRPr="00D10EA2">
        <w:rPr>
          <w:rFonts w:ascii="Times New Roman" w:hAnsi="Times New Roman" w:cs="Times New Roman"/>
          <w:color w:val="000000"/>
          <w:sz w:val="24"/>
          <w:szCs w:val="24"/>
        </w:rPr>
        <w:t>he St. Louis E</w:t>
      </w:r>
      <w:r w:rsidR="006100BC">
        <w:rPr>
          <w:rFonts w:ascii="Times New Roman" w:hAnsi="Times New Roman" w:cs="Times New Roman"/>
          <w:color w:val="000000"/>
          <w:sz w:val="24"/>
          <w:szCs w:val="24"/>
        </w:rPr>
        <w:t xml:space="preserve">conomic Development Partnership, with </w:t>
      </w:r>
      <w:r w:rsidR="001B44B8">
        <w:rPr>
          <w:rFonts w:ascii="Times New Roman" w:hAnsi="Times New Roman" w:cs="Times New Roman"/>
          <w:color w:val="000000"/>
          <w:sz w:val="24"/>
          <w:szCs w:val="24"/>
        </w:rPr>
        <w:t xml:space="preserve">its affiliated entities </w:t>
      </w:r>
      <w:r w:rsidRPr="00D10EA2">
        <w:rPr>
          <w:rFonts w:ascii="Times New Roman" w:hAnsi="Times New Roman" w:cs="Times New Roman"/>
          <w:color w:val="000000"/>
          <w:sz w:val="24"/>
          <w:szCs w:val="24"/>
        </w:rPr>
        <w:t>(</w:t>
      </w:r>
      <w:r w:rsidR="001B44B8">
        <w:rPr>
          <w:rFonts w:ascii="Times New Roman" w:hAnsi="Times New Roman" w:cs="Times New Roman"/>
          <w:color w:val="000000"/>
          <w:sz w:val="24"/>
          <w:szCs w:val="24"/>
        </w:rPr>
        <w:t xml:space="preserve">collectively, the </w:t>
      </w:r>
      <w:r w:rsidRPr="00D10EA2">
        <w:rPr>
          <w:rFonts w:ascii="Times New Roman" w:hAnsi="Times New Roman" w:cs="Times New Roman"/>
          <w:color w:val="000000"/>
          <w:sz w:val="24"/>
          <w:szCs w:val="24"/>
        </w:rPr>
        <w:t>“</w:t>
      </w:r>
      <w:r w:rsidR="001B44B8">
        <w:rPr>
          <w:rFonts w:ascii="Times New Roman" w:hAnsi="Times New Roman" w:cs="Times New Roman"/>
          <w:color w:val="000000"/>
          <w:sz w:val="24"/>
          <w:szCs w:val="24"/>
        </w:rPr>
        <w:t>Partnership</w:t>
      </w:r>
      <w:r w:rsidRPr="00D10EA2">
        <w:rPr>
          <w:rFonts w:ascii="Times New Roman" w:hAnsi="Times New Roman" w:cs="Times New Roman"/>
          <w:color w:val="000000"/>
          <w:sz w:val="24"/>
          <w:szCs w:val="24"/>
        </w:rPr>
        <w:t>”)</w:t>
      </w:r>
      <w:r w:rsidR="006100BC">
        <w:rPr>
          <w:rFonts w:ascii="Times New Roman" w:hAnsi="Times New Roman" w:cs="Times New Roman"/>
          <w:color w:val="000000"/>
          <w:sz w:val="24"/>
          <w:szCs w:val="24"/>
        </w:rPr>
        <w:t>,</w:t>
      </w:r>
      <w:r w:rsidRPr="00D10EA2">
        <w:rPr>
          <w:rFonts w:ascii="Times New Roman" w:hAnsi="Times New Roman" w:cs="Times New Roman"/>
          <w:color w:val="000000"/>
          <w:sz w:val="24"/>
          <w:szCs w:val="24"/>
        </w:rPr>
        <w:t xml:space="preserve"> </w:t>
      </w:r>
      <w:r w:rsidR="001B44B8">
        <w:rPr>
          <w:rFonts w:ascii="Times New Roman" w:hAnsi="Times New Roman" w:cs="Times New Roman"/>
          <w:color w:val="000000"/>
          <w:sz w:val="24"/>
          <w:szCs w:val="24"/>
        </w:rPr>
        <w:t>issue</w:t>
      </w:r>
      <w:r w:rsidR="006100BC">
        <w:rPr>
          <w:rFonts w:ascii="Times New Roman" w:hAnsi="Times New Roman" w:cs="Times New Roman"/>
          <w:color w:val="000000"/>
          <w:sz w:val="24"/>
          <w:szCs w:val="24"/>
        </w:rPr>
        <w:t>s</w:t>
      </w:r>
      <w:r w:rsidR="001B44B8">
        <w:rPr>
          <w:rFonts w:ascii="Times New Roman" w:hAnsi="Times New Roman" w:cs="Times New Roman"/>
          <w:color w:val="000000"/>
          <w:sz w:val="24"/>
          <w:szCs w:val="24"/>
        </w:rPr>
        <w:t xml:space="preserve"> this</w:t>
      </w:r>
      <w:r w:rsidRPr="00D10EA2">
        <w:rPr>
          <w:rFonts w:ascii="Times New Roman" w:hAnsi="Times New Roman" w:cs="Times New Roman"/>
          <w:color w:val="000000"/>
          <w:sz w:val="24"/>
          <w:szCs w:val="24"/>
        </w:rPr>
        <w:t xml:space="preserve"> open request for qualifications from</w:t>
      </w:r>
      <w:r>
        <w:rPr>
          <w:rFonts w:ascii="Times New Roman" w:hAnsi="Times New Roman" w:cs="Times New Roman"/>
          <w:color w:val="000000"/>
          <w:sz w:val="24"/>
          <w:szCs w:val="24"/>
        </w:rPr>
        <w:t xml:space="preserve"> </w:t>
      </w:r>
      <w:r w:rsidRPr="006F58AE">
        <w:rPr>
          <w:rFonts w:ascii="Times New Roman" w:hAnsi="Times New Roman" w:cs="Times New Roman"/>
          <w:color w:val="000000"/>
          <w:sz w:val="24"/>
          <w:szCs w:val="24"/>
        </w:rPr>
        <w:t>MBE and WBE</w:t>
      </w:r>
      <w:r>
        <w:rPr>
          <w:rFonts w:ascii="Times New Roman" w:hAnsi="Times New Roman" w:cs="Times New Roman"/>
          <w:color w:val="000000"/>
          <w:sz w:val="24"/>
          <w:szCs w:val="24"/>
        </w:rPr>
        <w:t xml:space="preserve"> </w:t>
      </w:r>
      <w:r w:rsidR="006100BC" w:rsidRPr="001B44B8">
        <w:rPr>
          <w:rFonts w:ascii="Times New Roman" w:hAnsi="Times New Roman" w:cs="Times New Roman"/>
          <w:color w:val="000000"/>
          <w:sz w:val="24"/>
          <w:szCs w:val="24"/>
        </w:rPr>
        <w:t xml:space="preserve">firms </w:t>
      </w:r>
      <w:r w:rsidR="001B44B8">
        <w:rPr>
          <w:rFonts w:ascii="Times New Roman" w:hAnsi="Times New Roman" w:cs="Times New Roman"/>
          <w:color w:val="000000"/>
          <w:sz w:val="24"/>
          <w:szCs w:val="24"/>
        </w:rPr>
        <w:t xml:space="preserve">(as defined in </w:t>
      </w:r>
      <w:r w:rsidR="001B44B8" w:rsidRPr="00170E72">
        <w:rPr>
          <w:rFonts w:ascii="Times New Roman" w:hAnsi="Times New Roman" w:cs="Times New Roman"/>
          <w:b/>
          <w:color w:val="000000"/>
          <w:sz w:val="24"/>
          <w:szCs w:val="24"/>
          <w:u w:val="single"/>
        </w:rPr>
        <w:t>Exhibit A</w:t>
      </w:r>
      <w:r w:rsidR="001B44B8">
        <w:rPr>
          <w:rFonts w:ascii="Times New Roman" w:hAnsi="Times New Roman" w:cs="Times New Roman"/>
          <w:color w:val="000000"/>
          <w:sz w:val="24"/>
          <w:szCs w:val="24"/>
        </w:rPr>
        <w:t xml:space="preserve">) </w:t>
      </w:r>
      <w:r w:rsidR="001B44B8" w:rsidRPr="001B44B8">
        <w:rPr>
          <w:rFonts w:ascii="Times New Roman" w:hAnsi="Times New Roman" w:cs="Times New Roman"/>
          <w:color w:val="000000"/>
          <w:sz w:val="24"/>
          <w:szCs w:val="24"/>
        </w:rPr>
        <w:t xml:space="preserve">for various projects initiated </w:t>
      </w:r>
      <w:r w:rsidR="006100BC">
        <w:rPr>
          <w:rFonts w:ascii="Times New Roman" w:hAnsi="Times New Roman" w:cs="Times New Roman"/>
          <w:color w:val="000000"/>
          <w:sz w:val="24"/>
          <w:szCs w:val="24"/>
        </w:rPr>
        <w:t xml:space="preserve">during </w:t>
      </w:r>
      <w:r w:rsidR="005528F8">
        <w:rPr>
          <w:rFonts w:ascii="Times New Roman" w:hAnsi="Times New Roman" w:cs="Times New Roman"/>
          <w:color w:val="000000"/>
          <w:sz w:val="24"/>
          <w:szCs w:val="24"/>
        </w:rPr>
        <w:t xml:space="preserve">the </w:t>
      </w:r>
      <w:r w:rsidR="00CC745A">
        <w:rPr>
          <w:rFonts w:ascii="Times New Roman" w:hAnsi="Times New Roman" w:cs="Times New Roman"/>
          <w:color w:val="000000"/>
          <w:sz w:val="24"/>
          <w:szCs w:val="24"/>
        </w:rPr>
        <w:t>202</w:t>
      </w:r>
      <w:r w:rsidR="004B22BB">
        <w:rPr>
          <w:rFonts w:ascii="Times New Roman" w:hAnsi="Times New Roman" w:cs="Times New Roman"/>
          <w:color w:val="000000"/>
          <w:sz w:val="24"/>
          <w:szCs w:val="24"/>
        </w:rPr>
        <w:t>3</w:t>
      </w:r>
      <w:r w:rsidR="005528F8">
        <w:rPr>
          <w:rFonts w:ascii="Times New Roman" w:hAnsi="Times New Roman" w:cs="Times New Roman"/>
          <w:color w:val="000000"/>
          <w:sz w:val="24"/>
          <w:szCs w:val="24"/>
        </w:rPr>
        <w:t xml:space="preserve"> calendar year</w:t>
      </w:r>
      <w:r w:rsidR="00261E12">
        <w:rPr>
          <w:rFonts w:ascii="Times New Roman" w:hAnsi="Times New Roman" w:cs="Times New Roman"/>
          <w:color w:val="000000"/>
          <w:sz w:val="24"/>
          <w:szCs w:val="24"/>
        </w:rPr>
        <w:t xml:space="preserve">. </w:t>
      </w:r>
      <w:r w:rsidR="001B44B8" w:rsidRPr="001B44B8">
        <w:rPr>
          <w:rFonts w:ascii="Times New Roman" w:hAnsi="Times New Roman" w:cs="Times New Roman"/>
          <w:color w:val="000000"/>
          <w:sz w:val="24"/>
          <w:szCs w:val="24"/>
        </w:rPr>
        <w:t>The Partnership seeks to be more intentional and deliberate in connecting to diverse firms as it works to advance economic opportunities for all bus</w:t>
      </w:r>
      <w:r w:rsidR="001B44B8">
        <w:rPr>
          <w:rFonts w:ascii="Times New Roman" w:hAnsi="Times New Roman" w:cs="Times New Roman"/>
          <w:color w:val="000000"/>
          <w:sz w:val="24"/>
          <w:szCs w:val="24"/>
        </w:rPr>
        <w:t>inesses in the St. Louis region</w:t>
      </w:r>
      <w:r>
        <w:rPr>
          <w:rFonts w:ascii="Times New Roman" w:hAnsi="Times New Roman" w:cs="Times New Roman"/>
          <w:color w:val="000000"/>
          <w:sz w:val="24"/>
          <w:szCs w:val="24"/>
        </w:rPr>
        <w:t xml:space="preserve">. </w:t>
      </w:r>
    </w:p>
    <w:p w14:paraId="6938BE1F" w14:textId="77777777" w:rsidR="00376674" w:rsidRDefault="00376674" w:rsidP="00D10EA2">
      <w:pPr>
        <w:contextualSpacing/>
        <w:rPr>
          <w:rFonts w:ascii="Times New Roman" w:hAnsi="Times New Roman" w:cs="Times New Roman"/>
          <w:color w:val="000000"/>
          <w:sz w:val="24"/>
          <w:szCs w:val="24"/>
        </w:rPr>
      </w:pPr>
    </w:p>
    <w:p w14:paraId="40E29DFA" w14:textId="03652927" w:rsidR="00396122" w:rsidRDefault="00396122" w:rsidP="00D10EA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The Board of </w:t>
      </w:r>
      <w:r w:rsidR="008E09E5">
        <w:rPr>
          <w:rFonts w:ascii="Times New Roman" w:hAnsi="Times New Roman" w:cs="Times New Roman"/>
          <w:color w:val="000000"/>
          <w:sz w:val="24"/>
          <w:szCs w:val="24"/>
        </w:rPr>
        <w:t xml:space="preserve">Directors </w:t>
      </w:r>
      <w:r w:rsidR="006100BC">
        <w:rPr>
          <w:rFonts w:ascii="Times New Roman" w:hAnsi="Times New Roman" w:cs="Times New Roman"/>
          <w:color w:val="000000"/>
          <w:sz w:val="24"/>
          <w:szCs w:val="24"/>
        </w:rPr>
        <w:t>for</w:t>
      </w:r>
      <w:r w:rsidR="008E09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St. Louis Economic Development Partnership has adopted</w:t>
      </w:r>
      <w:r w:rsidR="005528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standards for </w:t>
      </w:r>
      <w:r w:rsidR="006F58AE">
        <w:rPr>
          <w:rFonts w:ascii="Times New Roman" w:hAnsi="Times New Roman" w:cs="Times New Roman"/>
          <w:color w:val="000000"/>
          <w:sz w:val="24"/>
          <w:szCs w:val="24"/>
        </w:rPr>
        <w:t xml:space="preserve">the Partnership’s </w:t>
      </w:r>
      <w:r>
        <w:rPr>
          <w:rFonts w:ascii="Times New Roman" w:hAnsi="Times New Roman" w:cs="Times New Roman"/>
          <w:color w:val="000000"/>
          <w:sz w:val="24"/>
          <w:szCs w:val="24"/>
        </w:rPr>
        <w:t>procurement</w:t>
      </w:r>
      <w:r w:rsidR="008E09E5">
        <w:rPr>
          <w:rFonts w:ascii="Times New Roman" w:hAnsi="Times New Roman" w:cs="Times New Roman"/>
          <w:color w:val="000000"/>
          <w:sz w:val="24"/>
          <w:szCs w:val="24"/>
        </w:rPr>
        <w:t xml:space="preserve"> of contracts</w:t>
      </w:r>
      <w:r w:rsidR="005528F8">
        <w:rPr>
          <w:rFonts w:ascii="Times New Roman" w:hAnsi="Times New Roman" w:cs="Times New Roman"/>
          <w:color w:val="000000"/>
          <w:sz w:val="24"/>
          <w:szCs w:val="24"/>
        </w:rPr>
        <w:t xml:space="preserve"> with MBE and WBE firms</w:t>
      </w:r>
      <w:r>
        <w:rPr>
          <w:rFonts w:ascii="Times New Roman" w:hAnsi="Times New Roman" w:cs="Times New Roman"/>
          <w:color w:val="000000"/>
          <w:sz w:val="24"/>
          <w:szCs w:val="24"/>
        </w:rPr>
        <w:t xml:space="preserve">. </w:t>
      </w:r>
      <w:r w:rsidR="006F58AE">
        <w:rPr>
          <w:rFonts w:ascii="Times New Roman" w:hAnsi="Times New Roman" w:cs="Times New Roman"/>
          <w:color w:val="000000"/>
          <w:sz w:val="24"/>
          <w:szCs w:val="24"/>
        </w:rPr>
        <w:t>In order to increase the equity of its contracting processes</w:t>
      </w:r>
      <w:r w:rsidR="008E09E5">
        <w:rPr>
          <w:rFonts w:ascii="Times New Roman" w:hAnsi="Times New Roman" w:cs="Times New Roman"/>
          <w:color w:val="000000"/>
          <w:sz w:val="24"/>
          <w:szCs w:val="24"/>
        </w:rPr>
        <w:t xml:space="preserve">, </w:t>
      </w:r>
      <w:r w:rsidR="006F58AE">
        <w:rPr>
          <w:rFonts w:ascii="Times New Roman" w:hAnsi="Times New Roman" w:cs="Times New Roman"/>
          <w:color w:val="000000"/>
          <w:sz w:val="24"/>
          <w:szCs w:val="24"/>
        </w:rPr>
        <w:t xml:space="preserve">the Partnership </w:t>
      </w:r>
      <w:r w:rsidR="006100BC">
        <w:rPr>
          <w:rFonts w:ascii="Times New Roman" w:hAnsi="Times New Roman" w:cs="Times New Roman"/>
          <w:color w:val="000000"/>
          <w:sz w:val="24"/>
          <w:szCs w:val="24"/>
        </w:rPr>
        <w:t xml:space="preserve">seeks to establish a directory of </w:t>
      </w:r>
      <w:r w:rsidR="00B82C26">
        <w:rPr>
          <w:rFonts w:ascii="Times New Roman" w:hAnsi="Times New Roman" w:cs="Times New Roman"/>
          <w:color w:val="000000"/>
          <w:sz w:val="24"/>
          <w:szCs w:val="24"/>
        </w:rPr>
        <w:t xml:space="preserve">qualified </w:t>
      </w:r>
      <w:r w:rsidR="006100BC">
        <w:rPr>
          <w:rFonts w:ascii="Times New Roman" w:hAnsi="Times New Roman" w:cs="Times New Roman"/>
          <w:color w:val="000000"/>
          <w:sz w:val="24"/>
          <w:szCs w:val="24"/>
        </w:rPr>
        <w:t xml:space="preserve">MBE and WBE </w:t>
      </w:r>
      <w:r w:rsidR="00B82C26">
        <w:rPr>
          <w:rFonts w:ascii="Times New Roman" w:hAnsi="Times New Roman" w:cs="Times New Roman"/>
          <w:color w:val="000000"/>
          <w:sz w:val="24"/>
          <w:szCs w:val="24"/>
        </w:rPr>
        <w:t xml:space="preserve">professional services/consulting </w:t>
      </w:r>
      <w:r w:rsidR="006100BC">
        <w:rPr>
          <w:rFonts w:ascii="Times New Roman" w:hAnsi="Times New Roman" w:cs="Times New Roman"/>
          <w:color w:val="000000"/>
          <w:sz w:val="24"/>
          <w:szCs w:val="24"/>
        </w:rPr>
        <w:t>firms</w:t>
      </w:r>
      <w:r w:rsidR="006F58AE">
        <w:rPr>
          <w:rFonts w:ascii="Times New Roman" w:hAnsi="Times New Roman" w:cs="Times New Roman"/>
          <w:color w:val="000000"/>
          <w:sz w:val="24"/>
          <w:szCs w:val="24"/>
        </w:rPr>
        <w:t>.</w:t>
      </w:r>
      <w:r w:rsidR="00A12AC6">
        <w:rPr>
          <w:rFonts w:ascii="Times New Roman" w:hAnsi="Times New Roman" w:cs="Times New Roman"/>
          <w:color w:val="000000"/>
          <w:sz w:val="24"/>
          <w:szCs w:val="24"/>
        </w:rPr>
        <w:t xml:space="preserve"> Firms included in this directory will be notified of </w:t>
      </w:r>
      <w:r w:rsidR="00A12AC6" w:rsidRPr="00170E72">
        <w:rPr>
          <w:rFonts w:ascii="Times New Roman" w:hAnsi="Times New Roman" w:cs="Times New Roman"/>
          <w:b/>
          <w:color w:val="000000"/>
          <w:sz w:val="24"/>
          <w:szCs w:val="24"/>
          <w:u w:val="single"/>
        </w:rPr>
        <w:t>every</w:t>
      </w:r>
      <w:r w:rsidR="00A12AC6">
        <w:rPr>
          <w:rFonts w:ascii="Times New Roman" w:hAnsi="Times New Roman" w:cs="Times New Roman"/>
          <w:color w:val="000000"/>
          <w:sz w:val="24"/>
          <w:szCs w:val="24"/>
        </w:rPr>
        <w:t xml:space="preserve"> </w:t>
      </w:r>
      <w:r w:rsidR="006F63DF">
        <w:rPr>
          <w:rFonts w:ascii="Times New Roman" w:hAnsi="Times New Roman" w:cs="Times New Roman"/>
          <w:color w:val="000000"/>
          <w:sz w:val="24"/>
          <w:szCs w:val="24"/>
        </w:rPr>
        <w:t xml:space="preserve">published </w:t>
      </w:r>
      <w:r w:rsidR="00A12AC6">
        <w:rPr>
          <w:rFonts w:ascii="Times New Roman" w:hAnsi="Times New Roman" w:cs="Times New Roman"/>
          <w:color w:val="000000"/>
          <w:sz w:val="24"/>
          <w:szCs w:val="24"/>
        </w:rPr>
        <w:t>contract opportunity that th</w:t>
      </w:r>
      <w:r w:rsidR="005528F8">
        <w:rPr>
          <w:rFonts w:ascii="Times New Roman" w:hAnsi="Times New Roman" w:cs="Times New Roman"/>
          <w:color w:val="000000"/>
          <w:sz w:val="24"/>
          <w:szCs w:val="24"/>
        </w:rPr>
        <w:t>e Partnership advertises during the 2023 calendar year</w:t>
      </w:r>
      <w:r w:rsidR="00CC745A">
        <w:rPr>
          <w:rFonts w:ascii="Times New Roman" w:hAnsi="Times New Roman" w:cs="Times New Roman"/>
          <w:color w:val="000000"/>
          <w:sz w:val="24"/>
          <w:szCs w:val="24"/>
        </w:rPr>
        <w:t>.</w:t>
      </w:r>
    </w:p>
    <w:p w14:paraId="50D35D2E" w14:textId="77777777" w:rsidR="00261E12" w:rsidRDefault="00261E12" w:rsidP="00D10EA2">
      <w:pPr>
        <w:contextualSpacing/>
        <w:rPr>
          <w:rFonts w:ascii="Times New Roman" w:hAnsi="Times New Roman" w:cs="Times New Roman"/>
          <w:color w:val="000000"/>
          <w:sz w:val="24"/>
          <w:szCs w:val="24"/>
        </w:rPr>
      </w:pPr>
    </w:p>
    <w:p w14:paraId="57AA93FD" w14:textId="77777777" w:rsidR="00396122" w:rsidRDefault="006100BC" w:rsidP="00D10EA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The Partnership</w:t>
      </w:r>
      <w:r w:rsidR="00261E12">
        <w:rPr>
          <w:rFonts w:ascii="Times New Roman" w:hAnsi="Times New Roman" w:cs="Times New Roman"/>
          <w:color w:val="000000"/>
          <w:sz w:val="24"/>
          <w:szCs w:val="24"/>
        </w:rPr>
        <w:t xml:space="preserve"> seeks </w:t>
      </w:r>
      <w:r w:rsidR="00261E12" w:rsidRPr="00D10EA2">
        <w:rPr>
          <w:rFonts w:ascii="Times New Roman" w:hAnsi="Times New Roman" w:cs="Times New Roman"/>
          <w:color w:val="000000"/>
          <w:sz w:val="24"/>
          <w:szCs w:val="24"/>
        </w:rPr>
        <w:t xml:space="preserve">qualifications </w:t>
      </w:r>
      <w:r w:rsidR="006F58AE" w:rsidRPr="00D10EA2">
        <w:rPr>
          <w:rFonts w:ascii="Times New Roman" w:hAnsi="Times New Roman" w:cs="Times New Roman"/>
          <w:color w:val="000000"/>
          <w:sz w:val="24"/>
          <w:szCs w:val="24"/>
        </w:rPr>
        <w:t>from</w:t>
      </w:r>
      <w:r w:rsidR="006F58AE">
        <w:rPr>
          <w:rFonts w:ascii="Times New Roman" w:hAnsi="Times New Roman" w:cs="Times New Roman"/>
          <w:color w:val="000000"/>
          <w:sz w:val="24"/>
          <w:szCs w:val="24"/>
        </w:rPr>
        <w:t xml:space="preserve"> </w:t>
      </w:r>
      <w:r w:rsidR="006F58AE" w:rsidRPr="006F58AE">
        <w:rPr>
          <w:rFonts w:ascii="Times New Roman" w:hAnsi="Times New Roman" w:cs="Times New Roman"/>
          <w:color w:val="000000"/>
          <w:sz w:val="24"/>
          <w:szCs w:val="24"/>
        </w:rPr>
        <w:t>MBE</w:t>
      </w:r>
      <w:r w:rsidR="00A273E1">
        <w:rPr>
          <w:rFonts w:ascii="Times New Roman" w:hAnsi="Times New Roman" w:cs="Times New Roman"/>
          <w:color w:val="000000"/>
          <w:sz w:val="24"/>
          <w:szCs w:val="24"/>
        </w:rPr>
        <w:t xml:space="preserve"> </w:t>
      </w:r>
      <w:r w:rsidR="006F58AE" w:rsidRPr="006F58AE">
        <w:rPr>
          <w:rFonts w:ascii="Times New Roman" w:hAnsi="Times New Roman" w:cs="Times New Roman"/>
          <w:color w:val="000000"/>
          <w:sz w:val="24"/>
          <w:szCs w:val="24"/>
        </w:rPr>
        <w:t>and WBE</w:t>
      </w:r>
      <w:r w:rsidR="006F58AE">
        <w:rPr>
          <w:rFonts w:ascii="Times New Roman" w:hAnsi="Times New Roman" w:cs="Times New Roman"/>
          <w:color w:val="000000"/>
          <w:sz w:val="24"/>
          <w:szCs w:val="24"/>
        </w:rPr>
        <w:t xml:space="preserve"> </w:t>
      </w:r>
      <w:r w:rsidR="00261E12" w:rsidRPr="00D10EA2">
        <w:rPr>
          <w:rFonts w:ascii="Times New Roman" w:hAnsi="Times New Roman" w:cs="Times New Roman"/>
          <w:color w:val="000000"/>
          <w:sz w:val="24"/>
          <w:szCs w:val="24"/>
        </w:rPr>
        <w:t>firms with expertise</w:t>
      </w:r>
      <w:r w:rsidR="00B82C26">
        <w:rPr>
          <w:rFonts w:ascii="Times New Roman" w:hAnsi="Times New Roman" w:cs="Times New Roman"/>
          <w:color w:val="000000"/>
          <w:sz w:val="24"/>
          <w:szCs w:val="24"/>
        </w:rPr>
        <w:t xml:space="preserve"> and experience</w:t>
      </w:r>
      <w:r w:rsidR="00261E12" w:rsidRPr="00D10EA2">
        <w:rPr>
          <w:rFonts w:ascii="Times New Roman" w:hAnsi="Times New Roman" w:cs="Times New Roman"/>
          <w:color w:val="000000"/>
          <w:sz w:val="24"/>
          <w:szCs w:val="24"/>
        </w:rPr>
        <w:t xml:space="preserve"> that includes, but is not limited to, </w:t>
      </w:r>
      <w:r w:rsidR="006F58AE">
        <w:rPr>
          <w:rFonts w:ascii="Times New Roman" w:hAnsi="Times New Roman" w:cs="Times New Roman"/>
          <w:color w:val="000000"/>
          <w:sz w:val="24"/>
          <w:szCs w:val="24"/>
        </w:rPr>
        <w:t>the following</w:t>
      </w:r>
      <w:r w:rsidR="00261E12">
        <w:rPr>
          <w:rFonts w:ascii="Times New Roman" w:hAnsi="Times New Roman" w:cs="Times New Roman"/>
          <w:color w:val="000000"/>
          <w:sz w:val="24"/>
          <w:szCs w:val="24"/>
        </w:rPr>
        <w:t xml:space="preserve"> areas</w:t>
      </w:r>
      <w:r w:rsidR="006F58AE">
        <w:rPr>
          <w:rFonts w:ascii="Times New Roman" w:hAnsi="Times New Roman" w:cs="Times New Roman"/>
          <w:color w:val="000000"/>
          <w:sz w:val="24"/>
          <w:szCs w:val="24"/>
        </w:rPr>
        <w:t>:</w:t>
      </w:r>
    </w:p>
    <w:p w14:paraId="45FC286D" w14:textId="77777777" w:rsidR="008F1A4F" w:rsidRPr="00D10EA2" w:rsidRDefault="008F1A4F" w:rsidP="00D10EA2">
      <w:pPr>
        <w:contextualSpacing/>
        <w:rPr>
          <w:rFonts w:ascii="Times New Roman" w:hAnsi="Times New Roman" w:cs="Times New Roman"/>
          <w:color w:val="000000"/>
          <w:sz w:val="24"/>
          <w:szCs w:val="24"/>
        </w:rPr>
      </w:pPr>
    </w:p>
    <w:p w14:paraId="0B45F613" w14:textId="4C085A4B" w:rsidR="00175804" w:rsidRPr="00FF48B7" w:rsidRDefault="00175804" w:rsidP="00175804">
      <w:pPr>
        <w:numPr>
          <w:ilvl w:val="0"/>
          <w:numId w:val="1"/>
        </w:numPr>
        <w:tabs>
          <w:tab w:val="clear" w:pos="360"/>
        </w:tabs>
        <w:ind w:left="1710" w:hanging="270"/>
        <w:contextualSpacing/>
        <w:rPr>
          <w:rFonts w:ascii="Times New Roman" w:hAnsi="Times New Roman" w:cs="Times New Roman"/>
          <w:color w:val="000000"/>
          <w:sz w:val="24"/>
          <w:szCs w:val="24"/>
        </w:rPr>
      </w:pPr>
      <w:bookmarkStart w:id="0" w:name="_Hlk90647246"/>
      <w:r w:rsidRPr="00FF48B7">
        <w:rPr>
          <w:rFonts w:ascii="Times New Roman" w:hAnsi="Times New Roman" w:cs="Times New Roman"/>
          <w:color w:val="000000"/>
          <w:sz w:val="24"/>
          <w:szCs w:val="24"/>
        </w:rPr>
        <w:t>Demolition;</w:t>
      </w:r>
    </w:p>
    <w:p w14:paraId="15FDEBF5" w14:textId="777CCD47" w:rsidR="00175804" w:rsidRPr="00FF48B7" w:rsidRDefault="00175804" w:rsidP="00175804">
      <w:pPr>
        <w:numPr>
          <w:ilvl w:val="0"/>
          <w:numId w:val="1"/>
        </w:numPr>
        <w:tabs>
          <w:tab w:val="clear" w:pos="360"/>
        </w:tabs>
        <w:ind w:left="1710" w:hanging="270"/>
        <w:contextualSpacing/>
        <w:rPr>
          <w:rFonts w:ascii="Times New Roman" w:hAnsi="Times New Roman" w:cs="Times New Roman"/>
          <w:color w:val="000000"/>
          <w:sz w:val="24"/>
          <w:szCs w:val="24"/>
        </w:rPr>
      </w:pPr>
      <w:r w:rsidRPr="00FF48B7">
        <w:rPr>
          <w:rFonts w:ascii="Times New Roman" w:hAnsi="Times New Roman" w:cs="Times New Roman"/>
          <w:color w:val="000000"/>
          <w:sz w:val="24"/>
          <w:szCs w:val="24"/>
        </w:rPr>
        <w:t>Environmental remediation (specifically including asbestos remediation);</w:t>
      </w:r>
    </w:p>
    <w:p w14:paraId="4951C892" w14:textId="09DC1B6D" w:rsidR="00175804" w:rsidRPr="00FF48B7" w:rsidRDefault="00175804" w:rsidP="00175804">
      <w:pPr>
        <w:numPr>
          <w:ilvl w:val="0"/>
          <w:numId w:val="1"/>
        </w:numPr>
        <w:tabs>
          <w:tab w:val="clear" w:pos="360"/>
        </w:tabs>
        <w:ind w:left="1710" w:hanging="270"/>
        <w:contextualSpacing/>
        <w:rPr>
          <w:rFonts w:ascii="Times New Roman" w:hAnsi="Times New Roman" w:cs="Times New Roman"/>
          <w:color w:val="000000"/>
          <w:sz w:val="24"/>
          <w:szCs w:val="24"/>
        </w:rPr>
      </w:pPr>
      <w:r w:rsidRPr="00FF48B7">
        <w:rPr>
          <w:rFonts w:ascii="Times New Roman" w:hAnsi="Times New Roman" w:cs="Times New Roman"/>
          <w:color w:val="000000"/>
          <w:sz w:val="24"/>
          <w:szCs w:val="24"/>
        </w:rPr>
        <w:t>Engineering (including, but not limited to, civil, mechanical, electrical, and plumbing);</w:t>
      </w:r>
    </w:p>
    <w:p w14:paraId="61886AEE" w14:textId="5C14D72C" w:rsidR="00175804" w:rsidRPr="00FF48B7" w:rsidRDefault="00175804" w:rsidP="00175804">
      <w:pPr>
        <w:numPr>
          <w:ilvl w:val="0"/>
          <w:numId w:val="1"/>
        </w:numPr>
        <w:tabs>
          <w:tab w:val="clear" w:pos="360"/>
        </w:tabs>
        <w:ind w:left="1710" w:hanging="270"/>
        <w:contextualSpacing/>
        <w:rPr>
          <w:rFonts w:ascii="Times New Roman" w:hAnsi="Times New Roman" w:cs="Times New Roman"/>
          <w:color w:val="000000"/>
          <w:sz w:val="24"/>
          <w:szCs w:val="24"/>
        </w:rPr>
      </w:pPr>
      <w:r w:rsidRPr="00FF48B7">
        <w:rPr>
          <w:rFonts w:ascii="Times New Roman" w:hAnsi="Times New Roman" w:cs="Times New Roman"/>
          <w:color w:val="000000"/>
          <w:sz w:val="24"/>
          <w:szCs w:val="24"/>
        </w:rPr>
        <w:t>Title services for real estate transactions;</w:t>
      </w:r>
    </w:p>
    <w:p w14:paraId="497B258B" w14:textId="268FA421" w:rsidR="00175804" w:rsidRPr="00FF48B7" w:rsidRDefault="00175804" w:rsidP="00175804">
      <w:pPr>
        <w:numPr>
          <w:ilvl w:val="0"/>
          <w:numId w:val="1"/>
        </w:numPr>
        <w:tabs>
          <w:tab w:val="clear" w:pos="360"/>
        </w:tabs>
        <w:ind w:left="1710" w:hanging="270"/>
        <w:contextualSpacing/>
        <w:rPr>
          <w:rFonts w:ascii="Times New Roman" w:hAnsi="Times New Roman" w:cs="Times New Roman"/>
          <w:color w:val="000000"/>
          <w:sz w:val="24"/>
          <w:szCs w:val="24"/>
        </w:rPr>
      </w:pPr>
      <w:r w:rsidRPr="00FF48B7">
        <w:rPr>
          <w:rFonts w:ascii="Times New Roman" w:hAnsi="Times New Roman" w:cs="Times New Roman"/>
          <w:color w:val="000000"/>
          <w:sz w:val="24"/>
          <w:szCs w:val="24"/>
        </w:rPr>
        <w:t>Architectural design and consulting services;</w:t>
      </w:r>
    </w:p>
    <w:p w14:paraId="145C33B8" w14:textId="6F98441A" w:rsidR="00175804" w:rsidRPr="00D10EA2" w:rsidRDefault="00175804" w:rsidP="0017580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Planning, landscape architecture and urban design</w:t>
      </w:r>
      <w:r>
        <w:rPr>
          <w:rFonts w:ascii="Times New Roman" w:hAnsi="Times New Roman" w:cs="Times New Roman"/>
          <w:color w:val="000000"/>
          <w:sz w:val="24"/>
          <w:szCs w:val="24"/>
        </w:rPr>
        <w:t xml:space="preserve"> services;</w:t>
      </w:r>
    </w:p>
    <w:p w14:paraId="3038D4BD" w14:textId="3F79898A" w:rsidR="00175804" w:rsidRDefault="00175804" w:rsidP="0017580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Environmental consulting/engineering</w:t>
      </w:r>
      <w:r>
        <w:rPr>
          <w:rFonts w:ascii="Times New Roman" w:hAnsi="Times New Roman" w:cs="Times New Roman"/>
          <w:color w:val="000000"/>
          <w:sz w:val="24"/>
          <w:szCs w:val="24"/>
        </w:rPr>
        <w:t xml:space="preserve"> services</w:t>
      </w:r>
      <w:r w:rsidRPr="00D10E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including but not limited to </w:t>
      </w:r>
      <w:r w:rsidRPr="00D10EA2">
        <w:rPr>
          <w:rFonts w:ascii="Times New Roman" w:hAnsi="Times New Roman" w:cs="Times New Roman"/>
          <w:color w:val="000000"/>
          <w:sz w:val="24"/>
          <w:szCs w:val="24"/>
        </w:rPr>
        <w:t>assessment, remedial design and site remediation/cleanup services)</w:t>
      </w:r>
      <w:r>
        <w:rPr>
          <w:rFonts w:ascii="Times New Roman" w:hAnsi="Times New Roman" w:cs="Times New Roman"/>
          <w:color w:val="000000"/>
          <w:sz w:val="24"/>
          <w:szCs w:val="24"/>
        </w:rPr>
        <w:t>;</w:t>
      </w:r>
    </w:p>
    <w:p w14:paraId="0F4627A9" w14:textId="349E42C8" w:rsidR="00175804" w:rsidRDefault="00175804" w:rsidP="0017580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Geotechnical services;</w:t>
      </w:r>
    </w:p>
    <w:p w14:paraId="116C3F6F" w14:textId="3674CFB8" w:rsidR="00175804" w:rsidRDefault="00175804" w:rsidP="0017580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Traffic generation and assessment analysis;</w:t>
      </w:r>
    </w:p>
    <w:p w14:paraId="00CA5248" w14:textId="3A519040" w:rsidR="00175804" w:rsidRDefault="00175804" w:rsidP="0017580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Building inspection services;</w:t>
      </w:r>
    </w:p>
    <w:p w14:paraId="6CC3362C" w14:textId="6617A8E3" w:rsidR="00175804" w:rsidRDefault="00175804" w:rsidP="0017580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General contracting/construction;</w:t>
      </w:r>
    </w:p>
    <w:p w14:paraId="180221A9" w14:textId="34B6EACD" w:rsidR="00175804" w:rsidRPr="00D10EA2" w:rsidRDefault="00175804" w:rsidP="0017580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Landscaping;</w:t>
      </w:r>
    </w:p>
    <w:p w14:paraId="24D21029" w14:textId="685A883F" w:rsidR="00175804" w:rsidRPr="00D10EA2" w:rsidRDefault="00175804" w:rsidP="0017580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 xml:space="preserve">Construction </w:t>
      </w:r>
      <w:r>
        <w:rPr>
          <w:rFonts w:ascii="Times New Roman" w:hAnsi="Times New Roman" w:cs="Times New Roman"/>
          <w:color w:val="000000"/>
          <w:sz w:val="24"/>
          <w:szCs w:val="24"/>
        </w:rPr>
        <w:t>c</w:t>
      </w:r>
      <w:r w:rsidRPr="00D10EA2">
        <w:rPr>
          <w:rFonts w:ascii="Times New Roman" w:hAnsi="Times New Roman" w:cs="Times New Roman"/>
          <w:color w:val="000000"/>
          <w:sz w:val="24"/>
          <w:szCs w:val="24"/>
        </w:rPr>
        <w:t xml:space="preserve">ost </w:t>
      </w:r>
      <w:r>
        <w:rPr>
          <w:rFonts w:ascii="Times New Roman" w:hAnsi="Times New Roman" w:cs="Times New Roman"/>
          <w:color w:val="000000"/>
          <w:sz w:val="24"/>
          <w:szCs w:val="24"/>
        </w:rPr>
        <w:t>e</w:t>
      </w:r>
      <w:r w:rsidRPr="00D10EA2">
        <w:rPr>
          <w:rFonts w:ascii="Times New Roman" w:hAnsi="Times New Roman" w:cs="Times New Roman"/>
          <w:color w:val="000000"/>
          <w:sz w:val="24"/>
          <w:szCs w:val="24"/>
        </w:rPr>
        <w:t>stimating</w:t>
      </w:r>
      <w:r>
        <w:rPr>
          <w:rFonts w:ascii="Times New Roman" w:hAnsi="Times New Roman" w:cs="Times New Roman"/>
          <w:color w:val="000000"/>
          <w:sz w:val="24"/>
          <w:szCs w:val="24"/>
        </w:rPr>
        <w:t>;</w:t>
      </w:r>
    </w:p>
    <w:p w14:paraId="29C2BE7A" w14:textId="7429C78E" w:rsidR="00175804" w:rsidRPr="00D10EA2" w:rsidRDefault="00175804" w:rsidP="0017580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Construction management/oversight</w:t>
      </w:r>
      <w:r>
        <w:rPr>
          <w:rFonts w:ascii="Times New Roman" w:hAnsi="Times New Roman" w:cs="Times New Roman"/>
          <w:color w:val="000000"/>
          <w:sz w:val="24"/>
          <w:szCs w:val="24"/>
        </w:rPr>
        <w:t>;</w:t>
      </w:r>
    </w:p>
    <w:p w14:paraId="2F121009" w14:textId="01D9774B" w:rsidR="00175804" w:rsidRPr="00D10EA2" w:rsidRDefault="00175804" w:rsidP="0017580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Land surveying</w:t>
      </w:r>
      <w:r>
        <w:rPr>
          <w:rFonts w:ascii="Times New Roman" w:hAnsi="Times New Roman" w:cs="Times New Roman"/>
          <w:color w:val="000000"/>
          <w:sz w:val="24"/>
          <w:szCs w:val="24"/>
        </w:rPr>
        <w:t>;</w:t>
      </w:r>
    </w:p>
    <w:p w14:paraId="62FDE835" w14:textId="0EC23085" w:rsidR="00175804" w:rsidRPr="00D10EA2" w:rsidRDefault="00175804" w:rsidP="00175804">
      <w:pPr>
        <w:numPr>
          <w:ilvl w:val="0"/>
          <w:numId w:val="1"/>
        </w:numPr>
        <w:tabs>
          <w:tab w:val="clear" w:pos="360"/>
          <w:tab w:val="decimal" w:pos="1728"/>
        </w:tabs>
        <w:ind w:left="1710" w:right="72"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Economic and community development consulting (economic/market research and studies, incentives/tax analyses, appraisals</w:t>
      </w:r>
      <w:r>
        <w:rPr>
          <w:rFonts w:ascii="Times New Roman" w:hAnsi="Times New Roman" w:cs="Times New Roman"/>
          <w:color w:val="000000"/>
          <w:sz w:val="24"/>
          <w:szCs w:val="24"/>
        </w:rPr>
        <w:t>, existing conditions analysis,</w:t>
      </w:r>
      <w:r w:rsidRPr="00D10EA2">
        <w:rPr>
          <w:rFonts w:ascii="Times New Roman" w:hAnsi="Times New Roman" w:cs="Times New Roman"/>
          <w:color w:val="000000"/>
          <w:sz w:val="24"/>
          <w:szCs w:val="24"/>
        </w:rPr>
        <w:t xml:space="preserve"> and community assessment and outreach)</w:t>
      </w:r>
      <w:r>
        <w:rPr>
          <w:rFonts w:ascii="Times New Roman" w:hAnsi="Times New Roman" w:cs="Times New Roman"/>
          <w:color w:val="000000"/>
          <w:sz w:val="24"/>
          <w:szCs w:val="24"/>
        </w:rPr>
        <w:t>;</w:t>
      </w:r>
    </w:p>
    <w:p w14:paraId="41C22946" w14:textId="4ACC219B" w:rsidR="00175804" w:rsidRPr="00D10EA2" w:rsidRDefault="00175804" w:rsidP="00175804">
      <w:pPr>
        <w:numPr>
          <w:ilvl w:val="0"/>
          <w:numId w:val="1"/>
        </w:numPr>
        <w:tabs>
          <w:tab w:val="clear" w:pos="360"/>
          <w:tab w:val="decimal" w:pos="1728"/>
        </w:tabs>
        <w:ind w:left="1710" w:right="576"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 xml:space="preserve">Strategic planning (includes organizational development, SWOT analysis, </w:t>
      </w:r>
      <w:r>
        <w:rPr>
          <w:rFonts w:ascii="Times New Roman" w:hAnsi="Times New Roman" w:cs="Times New Roman"/>
          <w:color w:val="000000"/>
          <w:sz w:val="24"/>
          <w:szCs w:val="24"/>
        </w:rPr>
        <w:t xml:space="preserve">and </w:t>
      </w:r>
      <w:r w:rsidRPr="00D10EA2">
        <w:rPr>
          <w:rFonts w:ascii="Times New Roman" w:hAnsi="Times New Roman" w:cs="Times New Roman"/>
          <w:color w:val="000000"/>
          <w:sz w:val="24"/>
          <w:szCs w:val="24"/>
        </w:rPr>
        <w:t>long-term goal planning)</w:t>
      </w:r>
      <w:r>
        <w:rPr>
          <w:rFonts w:ascii="Times New Roman" w:hAnsi="Times New Roman" w:cs="Times New Roman"/>
          <w:color w:val="000000"/>
          <w:sz w:val="24"/>
          <w:szCs w:val="24"/>
        </w:rPr>
        <w:t>;</w:t>
      </w:r>
    </w:p>
    <w:p w14:paraId="50B62B1C" w14:textId="14320623" w:rsidR="00175804" w:rsidRPr="00D10EA2" w:rsidRDefault="00175804" w:rsidP="00175804">
      <w:pPr>
        <w:numPr>
          <w:ilvl w:val="0"/>
          <w:numId w:val="1"/>
        </w:numPr>
        <w:tabs>
          <w:tab w:val="clear" w:pos="360"/>
          <w:tab w:val="decimal" w:pos="1728"/>
        </w:tabs>
        <w:ind w:left="1710" w:right="864"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Real estate consulting (strategic facilities planning and space planning/programming)</w:t>
      </w:r>
      <w:r>
        <w:rPr>
          <w:rFonts w:ascii="Times New Roman" w:hAnsi="Times New Roman" w:cs="Times New Roman"/>
          <w:color w:val="000000"/>
          <w:sz w:val="24"/>
          <w:szCs w:val="24"/>
        </w:rPr>
        <w:t>;</w:t>
      </w:r>
    </w:p>
    <w:p w14:paraId="77A0B25A" w14:textId="5E22237C" w:rsidR="00175804" w:rsidRPr="00D10EA2" w:rsidRDefault="00175804" w:rsidP="0017580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Property acquisition and relocation services</w:t>
      </w:r>
      <w:r>
        <w:rPr>
          <w:rFonts w:ascii="Times New Roman" w:hAnsi="Times New Roman" w:cs="Times New Roman"/>
          <w:color w:val="000000"/>
          <w:sz w:val="24"/>
          <w:szCs w:val="24"/>
        </w:rPr>
        <w:t>;</w:t>
      </w:r>
    </w:p>
    <w:p w14:paraId="6AE71716" w14:textId="045603D5" w:rsidR="00175804" w:rsidRDefault="00175804" w:rsidP="0017580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lastRenderedPageBreak/>
        <w:t>Financial consu</w:t>
      </w:r>
      <w:r>
        <w:rPr>
          <w:rFonts w:ascii="Times New Roman" w:hAnsi="Times New Roman" w:cs="Times New Roman"/>
          <w:color w:val="000000"/>
          <w:sz w:val="24"/>
          <w:szCs w:val="24"/>
        </w:rPr>
        <w:t>lting services in the areas of, but not limited to,</w:t>
      </w:r>
      <w:r w:rsidRPr="00D10EA2">
        <w:rPr>
          <w:rFonts w:ascii="Times New Roman" w:hAnsi="Times New Roman" w:cs="Times New Roman"/>
          <w:color w:val="000000"/>
          <w:sz w:val="24"/>
          <w:szCs w:val="24"/>
        </w:rPr>
        <w:t xml:space="preserve"> loan packaging and loan servicing</w:t>
      </w:r>
      <w:r>
        <w:rPr>
          <w:rFonts w:ascii="Times New Roman" w:hAnsi="Times New Roman" w:cs="Times New Roman"/>
          <w:color w:val="000000"/>
          <w:sz w:val="24"/>
          <w:szCs w:val="24"/>
        </w:rPr>
        <w:t>, tax exempt and taxable bond financing, joint venture equity, and mezzanine or other forms of debt and equity financing;</w:t>
      </w:r>
    </w:p>
    <w:p w14:paraId="3E6D9284" w14:textId="72DDA90A" w:rsidR="00175804" w:rsidRPr="00D10EA2" w:rsidRDefault="00175804" w:rsidP="00175804">
      <w:pPr>
        <w:numPr>
          <w:ilvl w:val="0"/>
          <w:numId w:val="1"/>
        </w:numPr>
        <w:tabs>
          <w:tab w:val="clear" w:pos="360"/>
          <w:tab w:val="decimal" w:pos="1728"/>
        </w:tabs>
        <w:ind w:left="1710" w:right="21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Mentoring/consulting services in the areas of, but not limited to, human resources, risk management, information technology, financial management, sales training, marketing and legal;</w:t>
      </w:r>
    </w:p>
    <w:p w14:paraId="0C9A9E9C" w14:textId="3CAADA58" w:rsidR="00175804" w:rsidRPr="00D10EA2" w:rsidRDefault="00175804" w:rsidP="00175804">
      <w:pPr>
        <w:numPr>
          <w:ilvl w:val="0"/>
          <w:numId w:val="1"/>
        </w:numPr>
        <w:tabs>
          <w:tab w:val="clear" w:pos="360"/>
          <w:tab w:val="decimal" w:pos="1728"/>
        </w:tabs>
        <w:ind w:left="1710" w:right="432"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 xml:space="preserve">Marketing/communications (PR, electronic marketing, news story development, </w:t>
      </w:r>
      <w:r>
        <w:rPr>
          <w:rFonts w:ascii="Times New Roman" w:hAnsi="Times New Roman" w:cs="Times New Roman"/>
          <w:color w:val="000000"/>
          <w:sz w:val="24"/>
          <w:szCs w:val="24"/>
        </w:rPr>
        <w:t xml:space="preserve">and </w:t>
      </w:r>
      <w:r w:rsidRPr="00D10EA2">
        <w:rPr>
          <w:rFonts w:ascii="Times New Roman" w:hAnsi="Times New Roman" w:cs="Times New Roman"/>
          <w:color w:val="000000"/>
          <w:sz w:val="24"/>
          <w:szCs w:val="24"/>
        </w:rPr>
        <w:t>ads)</w:t>
      </w:r>
      <w:r>
        <w:rPr>
          <w:rFonts w:ascii="Times New Roman" w:hAnsi="Times New Roman" w:cs="Times New Roman"/>
          <w:color w:val="000000"/>
          <w:sz w:val="24"/>
          <w:szCs w:val="24"/>
        </w:rPr>
        <w:t>;</w:t>
      </w:r>
    </w:p>
    <w:p w14:paraId="22C3732E" w14:textId="01874999" w:rsidR="00175804" w:rsidRPr="00D10EA2" w:rsidRDefault="00175804" w:rsidP="00175804">
      <w:pPr>
        <w:numPr>
          <w:ilvl w:val="0"/>
          <w:numId w:val="1"/>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Multi-lingual translation and interpretation services</w:t>
      </w:r>
      <w:r>
        <w:rPr>
          <w:rFonts w:ascii="Times New Roman" w:hAnsi="Times New Roman" w:cs="Times New Roman"/>
          <w:color w:val="000000"/>
          <w:sz w:val="24"/>
          <w:szCs w:val="24"/>
        </w:rPr>
        <w:t>;</w:t>
      </w:r>
    </w:p>
    <w:p w14:paraId="3F268181" w14:textId="3E1F2E13" w:rsidR="00175804" w:rsidRPr="00D10EA2" w:rsidRDefault="00175804" w:rsidP="00175804">
      <w:pPr>
        <w:numPr>
          <w:ilvl w:val="0"/>
          <w:numId w:val="1"/>
        </w:numPr>
        <w:tabs>
          <w:tab w:val="clear" w:pos="360"/>
          <w:tab w:val="decimal" w:pos="1728"/>
        </w:tabs>
        <w:ind w:left="1710" w:right="72"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International trade consulting and research services (trade commodity flows, market research and development, business planning, compliance including legal and financial)</w:t>
      </w:r>
      <w:r>
        <w:rPr>
          <w:rFonts w:ascii="Times New Roman" w:hAnsi="Times New Roman" w:cs="Times New Roman"/>
          <w:color w:val="000000"/>
          <w:sz w:val="24"/>
          <w:szCs w:val="24"/>
        </w:rPr>
        <w:t>;</w:t>
      </w:r>
    </w:p>
    <w:p w14:paraId="43430AE1" w14:textId="4D377149" w:rsidR="00175804" w:rsidRPr="00D10EA2" w:rsidRDefault="00175804" w:rsidP="00175804">
      <w:pPr>
        <w:numPr>
          <w:ilvl w:val="0"/>
          <w:numId w:val="1"/>
        </w:numPr>
        <w:tabs>
          <w:tab w:val="clear" w:pos="360"/>
          <w:tab w:val="decimal" w:pos="1728"/>
        </w:tabs>
        <w:ind w:left="1710" w:right="936"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International</w:t>
      </w:r>
      <w:r w:rsidRPr="00D10EA2">
        <w:rPr>
          <w:rFonts w:ascii="Times New Roman" w:hAnsi="Times New Roman" w:cs="Times New Roman"/>
          <w:color w:val="000000"/>
          <w:sz w:val="24"/>
          <w:szCs w:val="24"/>
        </w:rPr>
        <w:t xml:space="preserve"> diplomatic, trade, and economic development consulting</w:t>
      </w:r>
      <w:r>
        <w:rPr>
          <w:rFonts w:ascii="Times New Roman" w:hAnsi="Times New Roman" w:cs="Times New Roman"/>
          <w:color w:val="000000"/>
          <w:sz w:val="24"/>
          <w:szCs w:val="24"/>
        </w:rPr>
        <w:t>;</w:t>
      </w:r>
    </w:p>
    <w:p w14:paraId="7E052B7B" w14:textId="6301CF6A" w:rsidR="00175804" w:rsidRPr="00D10EA2" w:rsidRDefault="00175804" w:rsidP="00175804">
      <w:pPr>
        <w:numPr>
          <w:ilvl w:val="0"/>
          <w:numId w:val="1"/>
        </w:numPr>
        <w:tabs>
          <w:tab w:val="clear" w:pos="360"/>
          <w:tab w:val="decimal" w:pos="1728"/>
        </w:tabs>
        <w:ind w:left="1710" w:right="1152"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Project managemen</w:t>
      </w:r>
      <w:r>
        <w:rPr>
          <w:rFonts w:ascii="Times New Roman" w:hAnsi="Times New Roman" w:cs="Times New Roman"/>
          <w:color w:val="000000"/>
          <w:sz w:val="24"/>
          <w:szCs w:val="24"/>
        </w:rPr>
        <w:t>t consulting services (includes</w:t>
      </w:r>
      <w:r w:rsidRPr="00D10EA2">
        <w:rPr>
          <w:rFonts w:ascii="Times New Roman" w:hAnsi="Times New Roman" w:cs="Times New Roman"/>
          <w:color w:val="000000"/>
          <w:sz w:val="24"/>
          <w:szCs w:val="24"/>
        </w:rPr>
        <w:t xml:space="preserve"> project development, advocacy, political outreach)</w:t>
      </w:r>
      <w:r>
        <w:rPr>
          <w:rFonts w:ascii="Times New Roman" w:hAnsi="Times New Roman" w:cs="Times New Roman"/>
          <w:color w:val="000000"/>
          <w:sz w:val="24"/>
          <w:szCs w:val="24"/>
        </w:rPr>
        <w:t>;</w:t>
      </w:r>
    </w:p>
    <w:p w14:paraId="27621468" w14:textId="577F03CD" w:rsidR="00175804" w:rsidRPr="00D10EA2" w:rsidRDefault="00175804" w:rsidP="00175804">
      <w:pPr>
        <w:numPr>
          <w:ilvl w:val="0"/>
          <w:numId w:val="2"/>
        </w:numPr>
        <w:tabs>
          <w:tab w:val="clear" w:pos="432"/>
          <w:tab w:val="decimal" w:pos="1800"/>
        </w:tabs>
        <w:ind w:left="1710" w:right="360"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Legal services in all areas of specialization, including but not limited to, corporate law, contract negotiations and transactional support, immigration, legislation, incentive analysis and negotiations, environmental law, land use and eminent domain, real estate law, public finance transactions (incentives analysis and public funding mechanisms/bonds, and business finance) and litigation;</w:t>
      </w:r>
    </w:p>
    <w:p w14:paraId="78B5A408" w14:textId="3EC1B7B3" w:rsidR="00175804" w:rsidRPr="00D10EA2" w:rsidRDefault="00175804" w:rsidP="00175804">
      <w:pPr>
        <w:numPr>
          <w:ilvl w:val="0"/>
          <w:numId w:val="2"/>
        </w:numPr>
        <w:tabs>
          <w:tab w:val="clear" w:pos="432"/>
          <w:tab w:val="decimal" w:pos="1800"/>
        </w:tabs>
        <w:ind w:left="1710" w:right="360" w:hanging="27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Any and all specialty services pertaining to the establishment and operation of the U.S. Citizen &amp; Immigration Service EB5 program or EB5 Regional Centers to include but not limited to immigration legal counsel, corporate and securities legal counsel, economic analysis, business plan writing, marketing, web design and maintenance, and international marketing and securities brokerage;</w:t>
      </w:r>
    </w:p>
    <w:p w14:paraId="6B62C755" w14:textId="28B11AE8" w:rsidR="00175804" w:rsidRPr="00D10EA2" w:rsidRDefault="00175804" w:rsidP="00175804">
      <w:pPr>
        <w:numPr>
          <w:ilvl w:val="0"/>
          <w:numId w:val="2"/>
        </w:numPr>
        <w:tabs>
          <w:tab w:val="clear" w:pos="432"/>
          <w:tab w:val="decimal" w:pos="1800"/>
        </w:tabs>
        <w:ind w:left="1710"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Information Technology services (including but not limited to selection, design and maintenance of SLEDP’s database(s) to meet organizational reporting needs, website design, maintenance and hosting, and other related audio/visual and related technology services);</w:t>
      </w:r>
    </w:p>
    <w:p w14:paraId="4785EE9B" w14:textId="2D61F7B2" w:rsidR="00175804" w:rsidRPr="00D10EA2" w:rsidRDefault="00175804" w:rsidP="00175804">
      <w:pPr>
        <w:numPr>
          <w:ilvl w:val="0"/>
          <w:numId w:val="2"/>
        </w:numPr>
        <w:tabs>
          <w:tab w:val="clear" w:pos="432"/>
          <w:tab w:val="decimal" w:pos="1800"/>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Tax, auditing and accounting services</w:t>
      </w:r>
      <w:r>
        <w:rPr>
          <w:rFonts w:ascii="Times New Roman" w:hAnsi="Times New Roman" w:cs="Times New Roman"/>
          <w:color w:val="000000"/>
          <w:sz w:val="24"/>
          <w:szCs w:val="24"/>
        </w:rPr>
        <w:t>;</w:t>
      </w:r>
    </w:p>
    <w:p w14:paraId="781F8B58" w14:textId="600EA21A" w:rsidR="00175804" w:rsidRPr="00D10EA2" w:rsidRDefault="00175804" w:rsidP="0017580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sidRPr="00D10EA2">
        <w:rPr>
          <w:rFonts w:ascii="Times New Roman" w:hAnsi="Times New Roman" w:cs="Times New Roman"/>
          <w:color w:val="000000"/>
          <w:sz w:val="24"/>
          <w:szCs w:val="24"/>
        </w:rPr>
        <w:t>Fundraising</w:t>
      </w:r>
      <w:r>
        <w:rPr>
          <w:rFonts w:ascii="Times New Roman" w:hAnsi="Times New Roman" w:cs="Times New Roman"/>
          <w:color w:val="000000"/>
          <w:sz w:val="24"/>
          <w:szCs w:val="24"/>
        </w:rPr>
        <w:t>;</w:t>
      </w:r>
    </w:p>
    <w:p w14:paraId="6D31A368" w14:textId="2C6DAEB7" w:rsidR="00175804" w:rsidRPr="00D10EA2" w:rsidRDefault="00175804" w:rsidP="0017580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Pr>
          <w:rFonts w:ascii="Times New Roman" w:hAnsi="Times New Roman" w:cs="Times New Roman"/>
          <w:color w:val="000000"/>
          <w:sz w:val="24"/>
          <w:szCs w:val="24"/>
        </w:rPr>
        <w:t>Grant writing services;</w:t>
      </w:r>
    </w:p>
    <w:p w14:paraId="2456B11D" w14:textId="06D47235" w:rsidR="00175804" w:rsidRPr="00FF48B7" w:rsidRDefault="00175804" w:rsidP="0017580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sidRPr="00FF48B7">
        <w:rPr>
          <w:rFonts w:ascii="Times New Roman" w:hAnsi="Times New Roman" w:cs="Times New Roman"/>
          <w:color w:val="000000"/>
          <w:sz w:val="24"/>
          <w:szCs w:val="24"/>
        </w:rPr>
        <w:t>Custodial and janitorial services;</w:t>
      </w:r>
    </w:p>
    <w:p w14:paraId="2CD56168" w14:textId="2A925D0C" w:rsidR="00175804" w:rsidRPr="00FF48B7" w:rsidRDefault="00175804" w:rsidP="0017580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sidRPr="00FF48B7">
        <w:rPr>
          <w:rFonts w:ascii="Times New Roman" w:hAnsi="Times New Roman" w:cs="Times New Roman"/>
          <w:color w:val="000000"/>
          <w:sz w:val="24"/>
          <w:szCs w:val="24"/>
        </w:rPr>
        <w:t xml:space="preserve">Property maintenance services (including, but not limited to, HVAC repairs and preventative maintenance, lawncare, asphalt repair, snow/ice removal, security services, and plumbing); and/or </w:t>
      </w:r>
    </w:p>
    <w:p w14:paraId="78300A5A" w14:textId="1B04B08B" w:rsidR="003A6453" w:rsidRPr="00FF48B7" w:rsidRDefault="00175804" w:rsidP="00175804">
      <w:pPr>
        <w:numPr>
          <w:ilvl w:val="0"/>
          <w:numId w:val="3"/>
        </w:numPr>
        <w:tabs>
          <w:tab w:val="clear" w:pos="360"/>
          <w:tab w:val="decimal" w:pos="1728"/>
        </w:tabs>
        <w:ind w:left="1710" w:hanging="270"/>
        <w:contextualSpacing/>
        <w:rPr>
          <w:rFonts w:ascii="Times New Roman" w:hAnsi="Times New Roman" w:cs="Times New Roman"/>
          <w:color w:val="000000"/>
          <w:sz w:val="24"/>
          <w:szCs w:val="24"/>
        </w:rPr>
      </w:pPr>
      <w:r w:rsidRPr="00FF48B7">
        <w:rPr>
          <w:rFonts w:ascii="Times New Roman" w:hAnsi="Times New Roman" w:cs="Times New Roman"/>
          <w:color w:val="000000"/>
          <w:sz w:val="24"/>
          <w:szCs w:val="24"/>
        </w:rPr>
        <w:t>Waste management services.</w:t>
      </w:r>
    </w:p>
    <w:bookmarkEnd w:id="0"/>
    <w:p w14:paraId="660A24D1" w14:textId="77777777" w:rsidR="000C49C9" w:rsidRPr="00FF48B7" w:rsidRDefault="000C49C9" w:rsidP="00D10EA2">
      <w:pPr>
        <w:rPr>
          <w:sz w:val="24"/>
          <w:szCs w:val="24"/>
        </w:rPr>
      </w:pPr>
    </w:p>
    <w:p w14:paraId="2E334529" w14:textId="77777777" w:rsidR="00F820A2" w:rsidRPr="000C49C9" w:rsidRDefault="006100BC" w:rsidP="00F820A2">
      <w:pPr>
        <w:contextualSpacing/>
        <w:rPr>
          <w:rFonts w:ascii="Times New Roman" w:hAnsi="Times New Roman" w:cs="Times New Roman"/>
          <w:sz w:val="24"/>
          <w:szCs w:val="24"/>
        </w:rPr>
      </w:pPr>
      <w:r w:rsidRPr="00FF48B7">
        <w:rPr>
          <w:rFonts w:ascii="Times New Roman" w:hAnsi="Times New Roman" w:cs="Times New Roman"/>
          <w:sz w:val="24"/>
          <w:szCs w:val="24"/>
        </w:rPr>
        <w:t>The Partnership</w:t>
      </w:r>
      <w:r w:rsidR="00F820A2" w:rsidRPr="00FF48B7">
        <w:rPr>
          <w:rFonts w:ascii="Times New Roman" w:hAnsi="Times New Roman" w:cs="Times New Roman"/>
          <w:sz w:val="24"/>
          <w:szCs w:val="24"/>
        </w:rPr>
        <w:t xml:space="preserve"> actively encourages submission of qualifications from disadvantaged business</w:t>
      </w:r>
      <w:r w:rsidR="00F820A2">
        <w:rPr>
          <w:rFonts w:ascii="Times New Roman" w:hAnsi="Times New Roman" w:cs="Times New Roman"/>
          <w:sz w:val="24"/>
          <w:szCs w:val="24"/>
        </w:rPr>
        <w:t xml:space="preserve"> enterprises and companies owned by minorities, women, immigrants and veterans.</w:t>
      </w:r>
      <w:r>
        <w:rPr>
          <w:rFonts w:ascii="Times New Roman" w:hAnsi="Times New Roman" w:cs="Times New Roman"/>
          <w:sz w:val="24"/>
          <w:szCs w:val="24"/>
        </w:rPr>
        <w:t xml:space="preserve"> The Partnership</w:t>
      </w:r>
      <w:r w:rsidR="00F820A2" w:rsidRPr="00D10EA2">
        <w:rPr>
          <w:rFonts w:ascii="Times New Roman" w:hAnsi="Times New Roman" w:cs="Times New Roman"/>
          <w:sz w:val="24"/>
          <w:szCs w:val="24"/>
        </w:rPr>
        <w:t xml:space="preserve"> does not discriminate on the basis of race, color, religion, creed, sex, sexual orientation, gender identity, age, ancestry, national origin, disability, or veteran status in conside</w:t>
      </w:r>
      <w:r>
        <w:rPr>
          <w:rFonts w:ascii="Times New Roman" w:hAnsi="Times New Roman" w:cs="Times New Roman"/>
          <w:sz w:val="24"/>
          <w:szCs w:val="24"/>
        </w:rPr>
        <w:t xml:space="preserve">ring any response or contract. </w:t>
      </w:r>
      <w:r w:rsidR="00F820A2" w:rsidRPr="00D10EA2">
        <w:rPr>
          <w:rFonts w:ascii="Times New Roman" w:hAnsi="Times New Roman" w:cs="Times New Roman"/>
          <w:sz w:val="24"/>
          <w:szCs w:val="24"/>
        </w:rPr>
        <w:t>Equal Opportunity Employer.</w:t>
      </w:r>
    </w:p>
    <w:p w14:paraId="7FF10A8F" w14:textId="77777777" w:rsidR="00B82C26" w:rsidRPr="00964FE3" w:rsidRDefault="00F820A2" w:rsidP="00964FE3">
      <w:pPr>
        <w:jc w:val="center"/>
        <w:rPr>
          <w:rFonts w:ascii="Times New Roman" w:hAnsi="Times New Roman" w:cs="Times New Roman"/>
          <w:sz w:val="24"/>
          <w:szCs w:val="24"/>
        </w:rPr>
      </w:pPr>
      <w:r>
        <w:rPr>
          <w:rFonts w:ascii="Times New Roman" w:hAnsi="Times New Roman" w:cs="Times New Roman"/>
          <w:sz w:val="24"/>
          <w:szCs w:val="24"/>
        </w:rPr>
        <w:lastRenderedPageBreak/>
        <w:softHyphen/>
      </w:r>
    </w:p>
    <w:p w14:paraId="5D2F19E4" w14:textId="77777777" w:rsidR="00F820A2" w:rsidRPr="00F820A2" w:rsidRDefault="00F820A2" w:rsidP="00F820A2">
      <w:pPr>
        <w:jc w:val="center"/>
        <w:rPr>
          <w:rFonts w:ascii="Times New Roman" w:hAnsi="Times New Roman" w:cs="Times New Roman"/>
          <w:b/>
          <w:sz w:val="24"/>
          <w:szCs w:val="24"/>
          <w:u w:val="single"/>
        </w:rPr>
      </w:pPr>
      <w:r>
        <w:rPr>
          <w:rFonts w:ascii="Times New Roman" w:hAnsi="Times New Roman" w:cs="Times New Roman"/>
          <w:b/>
          <w:sz w:val="24"/>
          <w:szCs w:val="24"/>
          <w:u w:val="single"/>
        </w:rPr>
        <w:t>Submission of Qualifications</w:t>
      </w:r>
    </w:p>
    <w:p w14:paraId="73012919" w14:textId="77777777" w:rsidR="00F820A2" w:rsidRDefault="00F820A2" w:rsidP="006F58AE">
      <w:pPr>
        <w:rPr>
          <w:rFonts w:ascii="Times New Roman" w:hAnsi="Times New Roman" w:cs="Times New Roman"/>
          <w:sz w:val="24"/>
          <w:szCs w:val="24"/>
        </w:rPr>
      </w:pPr>
    </w:p>
    <w:p w14:paraId="0E92AC28" w14:textId="1B710044" w:rsidR="006F58AE" w:rsidRPr="00D10EA2" w:rsidRDefault="00ED3569" w:rsidP="006F58AE">
      <w:pPr>
        <w:rPr>
          <w:rFonts w:ascii="Times New Roman" w:hAnsi="Times New Roman" w:cs="Times New Roman"/>
          <w:sz w:val="24"/>
          <w:szCs w:val="24"/>
        </w:rPr>
      </w:pPr>
      <w:r w:rsidRPr="00D10EA2">
        <w:rPr>
          <w:rFonts w:ascii="Times New Roman" w:hAnsi="Times New Roman" w:cs="Times New Roman"/>
          <w:sz w:val="24"/>
          <w:szCs w:val="24"/>
        </w:rPr>
        <w:t>Firms m</w:t>
      </w:r>
      <w:r w:rsidR="000C49C9">
        <w:rPr>
          <w:rFonts w:ascii="Times New Roman" w:hAnsi="Times New Roman" w:cs="Times New Roman"/>
          <w:sz w:val="24"/>
          <w:szCs w:val="24"/>
        </w:rPr>
        <w:t xml:space="preserve">ust identify in their submittal which category or up to four </w:t>
      </w:r>
      <w:r w:rsidR="00D819FE">
        <w:rPr>
          <w:rFonts w:ascii="Times New Roman" w:hAnsi="Times New Roman" w:cs="Times New Roman"/>
          <w:sz w:val="24"/>
          <w:szCs w:val="24"/>
        </w:rPr>
        <w:t xml:space="preserve">(4) </w:t>
      </w:r>
      <w:r w:rsidR="000C49C9">
        <w:rPr>
          <w:rFonts w:ascii="Times New Roman" w:hAnsi="Times New Roman" w:cs="Times New Roman"/>
          <w:sz w:val="24"/>
          <w:szCs w:val="24"/>
        </w:rPr>
        <w:t xml:space="preserve">categories of services </w:t>
      </w:r>
      <w:r w:rsidR="006F58AE">
        <w:rPr>
          <w:rFonts w:ascii="Times New Roman" w:hAnsi="Times New Roman" w:cs="Times New Roman"/>
          <w:sz w:val="24"/>
          <w:szCs w:val="24"/>
        </w:rPr>
        <w:t>they are qualified to provide</w:t>
      </w:r>
      <w:r w:rsidR="005528F8">
        <w:rPr>
          <w:rFonts w:ascii="Times New Roman" w:hAnsi="Times New Roman" w:cs="Times New Roman"/>
          <w:sz w:val="24"/>
          <w:szCs w:val="24"/>
        </w:rPr>
        <w:t xml:space="preserve"> (see list above)</w:t>
      </w:r>
      <w:r w:rsidR="006F58AE">
        <w:rPr>
          <w:rFonts w:ascii="Times New Roman" w:hAnsi="Times New Roman" w:cs="Times New Roman"/>
          <w:sz w:val="24"/>
          <w:szCs w:val="24"/>
        </w:rPr>
        <w:t xml:space="preserve">. </w:t>
      </w:r>
      <w:r w:rsidR="000C49C9">
        <w:rPr>
          <w:rFonts w:ascii="Times New Roman" w:hAnsi="Times New Roman" w:cs="Times New Roman"/>
          <w:sz w:val="24"/>
          <w:szCs w:val="24"/>
        </w:rPr>
        <w:t xml:space="preserve">Qualification submittals should provide resumes for key staff members, profile a sampling of projects that the firm has worked on in the past, and </w:t>
      </w:r>
      <w:r w:rsidR="005528F8">
        <w:rPr>
          <w:rFonts w:ascii="Times New Roman" w:hAnsi="Times New Roman" w:cs="Times New Roman"/>
          <w:sz w:val="24"/>
          <w:szCs w:val="24"/>
        </w:rPr>
        <w:t>indicate</w:t>
      </w:r>
      <w:r w:rsidR="000C49C9">
        <w:rPr>
          <w:rFonts w:ascii="Times New Roman" w:hAnsi="Times New Roman" w:cs="Times New Roman"/>
          <w:sz w:val="24"/>
          <w:szCs w:val="24"/>
        </w:rPr>
        <w:t xml:space="preserve"> MBE/WBE status </w:t>
      </w:r>
      <w:r w:rsidR="00D819FE">
        <w:rPr>
          <w:rFonts w:ascii="Times New Roman" w:hAnsi="Times New Roman" w:cs="Times New Roman"/>
          <w:sz w:val="24"/>
          <w:szCs w:val="24"/>
        </w:rPr>
        <w:t xml:space="preserve">as applicable. </w:t>
      </w:r>
      <w:r w:rsidR="00376674">
        <w:rPr>
          <w:rFonts w:ascii="Times New Roman" w:hAnsi="Times New Roman" w:cs="Times New Roman"/>
          <w:sz w:val="24"/>
          <w:szCs w:val="24"/>
        </w:rPr>
        <w:t xml:space="preserve">Please also include size and scale information in addition to current workforce and insurance/bonding capacity. </w:t>
      </w:r>
      <w:r w:rsidR="006F58AE">
        <w:rPr>
          <w:rFonts w:ascii="Times New Roman" w:hAnsi="Times New Roman" w:cs="Times New Roman"/>
          <w:sz w:val="24"/>
          <w:szCs w:val="24"/>
        </w:rPr>
        <w:t xml:space="preserve">Firms should designate a contact person and provide that individual’s contact information including </w:t>
      </w:r>
      <w:r w:rsidR="005528F8">
        <w:rPr>
          <w:rFonts w:ascii="Times New Roman" w:hAnsi="Times New Roman" w:cs="Times New Roman"/>
          <w:sz w:val="24"/>
          <w:szCs w:val="24"/>
        </w:rPr>
        <w:t xml:space="preserve">phone and </w:t>
      </w:r>
      <w:r w:rsidR="006F58AE">
        <w:rPr>
          <w:rFonts w:ascii="Times New Roman" w:hAnsi="Times New Roman" w:cs="Times New Roman"/>
          <w:sz w:val="24"/>
          <w:szCs w:val="24"/>
        </w:rPr>
        <w:t>email address.</w:t>
      </w:r>
    </w:p>
    <w:p w14:paraId="2BE3289D" w14:textId="77777777" w:rsidR="006F58AE" w:rsidRDefault="006F58AE" w:rsidP="00D10EA2">
      <w:pPr>
        <w:rPr>
          <w:rFonts w:ascii="Times New Roman" w:hAnsi="Times New Roman" w:cs="Times New Roman"/>
          <w:sz w:val="24"/>
          <w:szCs w:val="24"/>
        </w:rPr>
      </w:pPr>
    </w:p>
    <w:p w14:paraId="4499DDB6" w14:textId="77777777" w:rsidR="00376674" w:rsidRDefault="000C49C9" w:rsidP="00D10EA2">
      <w:pPr>
        <w:rPr>
          <w:rFonts w:ascii="Times New Roman" w:hAnsi="Times New Roman" w:cs="Times New Roman"/>
          <w:sz w:val="24"/>
          <w:szCs w:val="24"/>
        </w:rPr>
      </w:pPr>
      <w:r>
        <w:rPr>
          <w:rFonts w:ascii="Times New Roman" w:hAnsi="Times New Roman" w:cs="Times New Roman"/>
          <w:sz w:val="24"/>
          <w:szCs w:val="24"/>
        </w:rPr>
        <w:t xml:space="preserve">Please also </w:t>
      </w:r>
      <w:r w:rsidR="00376674">
        <w:rPr>
          <w:rFonts w:ascii="Times New Roman" w:hAnsi="Times New Roman" w:cs="Times New Roman"/>
          <w:sz w:val="24"/>
          <w:szCs w:val="24"/>
        </w:rPr>
        <w:t xml:space="preserve">specific any certifications that </w:t>
      </w:r>
      <w:r w:rsidR="006F58AE">
        <w:rPr>
          <w:rFonts w:ascii="Times New Roman" w:hAnsi="Times New Roman" w:cs="Times New Roman"/>
          <w:sz w:val="24"/>
          <w:szCs w:val="24"/>
        </w:rPr>
        <w:t xml:space="preserve">your firm may have. </w:t>
      </w:r>
      <w:r w:rsidR="006F58AE" w:rsidRPr="006F58AE">
        <w:rPr>
          <w:rFonts w:ascii="Times New Roman" w:hAnsi="Times New Roman" w:cs="Times New Roman"/>
          <w:b/>
          <w:sz w:val="24"/>
          <w:szCs w:val="24"/>
          <w:u w:val="single"/>
        </w:rPr>
        <w:t>C</w:t>
      </w:r>
      <w:r w:rsidR="00376674" w:rsidRPr="006F58AE">
        <w:rPr>
          <w:rFonts w:ascii="Times New Roman" w:hAnsi="Times New Roman" w:cs="Times New Roman"/>
          <w:b/>
          <w:sz w:val="24"/>
          <w:szCs w:val="24"/>
          <w:u w:val="single"/>
        </w:rPr>
        <w:t>ertification is not required</w:t>
      </w:r>
      <w:r w:rsidR="00F820A2">
        <w:rPr>
          <w:rFonts w:ascii="Times New Roman" w:hAnsi="Times New Roman" w:cs="Times New Roman"/>
          <w:b/>
          <w:sz w:val="24"/>
          <w:szCs w:val="24"/>
          <w:u w:val="single"/>
        </w:rPr>
        <w:t xml:space="preserve"> prior to submission</w:t>
      </w:r>
      <w:r w:rsidR="006F58AE">
        <w:rPr>
          <w:rFonts w:ascii="Times New Roman" w:hAnsi="Times New Roman" w:cs="Times New Roman"/>
          <w:sz w:val="24"/>
          <w:szCs w:val="24"/>
        </w:rPr>
        <w:t>;</w:t>
      </w:r>
      <w:r w:rsidR="00376674">
        <w:rPr>
          <w:rFonts w:ascii="Times New Roman" w:hAnsi="Times New Roman" w:cs="Times New Roman"/>
          <w:sz w:val="24"/>
          <w:szCs w:val="24"/>
        </w:rPr>
        <w:t xml:space="preserve"> however</w:t>
      </w:r>
      <w:r w:rsidR="006F58AE">
        <w:rPr>
          <w:rFonts w:ascii="Times New Roman" w:hAnsi="Times New Roman" w:cs="Times New Roman"/>
          <w:sz w:val="24"/>
          <w:szCs w:val="24"/>
        </w:rPr>
        <w:t>,</w:t>
      </w:r>
      <w:r w:rsidR="00376674">
        <w:rPr>
          <w:rFonts w:ascii="Times New Roman" w:hAnsi="Times New Roman" w:cs="Times New Roman"/>
          <w:sz w:val="24"/>
          <w:szCs w:val="24"/>
        </w:rPr>
        <w:t xml:space="preserve"> </w:t>
      </w:r>
      <w:r w:rsidR="006F58AE">
        <w:rPr>
          <w:rFonts w:ascii="Times New Roman" w:hAnsi="Times New Roman" w:cs="Times New Roman"/>
          <w:sz w:val="24"/>
          <w:szCs w:val="24"/>
        </w:rPr>
        <w:t>it may</w:t>
      </w:r>
      <w:r w:rsidR="00376674">
        <w:rPr>
          <w:rFonts w:ascii="Times New Roman" w:hAnsi="Times New Roman" w:cs="Times New Roman"/>
          <w:sz w:val="24"/>
          <w:szCs w:val="24"/>
        </w:rPr>
        <w:t xml:space="preserve"> be completed at</w:t>
      </w:r>
      <w:r w:rsidR="006F58AE">
        <w:rPr>
          <w:rFonts w:ascii="Times New Roman" w:hAnsi="Times New Roman" w:cs="Times New Roman"/>
          <w:sz w:val="24"/>
          <w:szCs w:val="24"/>
        </w:rPr>
        <w:t>:</w:t>
      </w:r>
      <w:r w:rsidR="00376674">
        <w:rPr>
          <w:rFonts w:ascii="Times New Roman" w:hAnsi="Times New Roman" w:cs="Times New Roman"/>
          <w:sz w:val="24"/>
          <w:szCs w:val="24"/>
        </w:rPr>
        <w:t xml:space="preserve"> </w:t>
      </w:r>
      <w:hyperlink r:id="rId5" w:history="1">
        <w:r w:rsidR="00376674" w:rsidRPr="005930FB">
          <w:rPr>
            <w:rStyle w:val="Hyperlink"/>
            <w:rFonts w:ascii="Times New Roman" w:hAnsi="Times New Roman" w:cs="Times New Roman"/>
            <w:sz w:val="24"/>
            <w:szCs w:val="24"/>
          </w:rPr>
          <w:t>https://www.flystl.com/business/busines</w:t>
        </w:r>
        <w:r w:rsidR="00376674" w:rsidRPr="005930FB">
          <w:rPr>
            <w:rStyle w:val="Hyperlink"/>
            <w:rFonts w:ascii="Times New Roman" w:hAnsi="Times New Roman" w:cs="Times New Roman"/>
            <w:sz w:val="24"/>
            <w:szCs w:val="24"/>
          </w:rPr>
          <w:t>s</w:t>
        </w:r>
        <w:r w:rsidR="00376674" w:rsidRPr="005930FB">
          <w:rPr>
            <w:rStyle w:val="Hyperlink"/>
            <w:rFonts w:ascii="Times New Roman" w:hAnsi="Times New Roman" w:cs="Times New Roman"/>
            <w:sz w:val="24"/>
            <w:szCs w:val="24"/>
          </w:rPr>
          <w:t>-diversity-dev</w:t>
        </w:r>
        <w:r w:rsidR="00376674" w:rsidRPr="005930FB">
          <w:rPr>
            <w:rStyle w:val="Hyperlink"/>
            <w:rFonts w:ascii="Times New Roman" w:hAnsi="Times New Roman" w:cs="Times New Roman"/>
            <w:sz w:val="24"/>
            <w:szCs w:val="24"/>
          </w:rPr>
          <w:t>e</w:t>
        </w:r>
        <w:r w:rsidR="00376674" w:rsidRPr="005930FB">
          <w:rPr>
            <w:rStyle w:val="Hyperlink"/>
            <w:rFonts w:ascii="Times New Roman" w:hAnsi="Times New Roman" w:cs="Times New Roman"/>
            <w:sz w:val="24"/>
            <w:szCs w:val="24"/>
          </w:rPr>
          <w:t>lopment-1/get-certified</w:t>
        </w:r>
      </w:hyperlink>
      <w:r w:rsidR="006F58AE">
        <w:rPr>
          <w:rStyle w:val="Hyperlink"/>
          <w:rFonts w:ascii="Times New Roman" w:hAnsi="Times New Roman" w:cs="Times New Roman"/>
          <w:sz w:val="24"/>
          <w:szCs w:val="24"/>
        </w:rPr>
        <w:t>.</w:t>
      </w:r>
    </w:p>
    <w:p w14:paraId="5DDB5E51" w14:textId="77777777" w:rsidR="00376674" w:rsidRDefault="00376674" w:rsidP="00D10EA2">
      <w:pPr>
        <w:rPr>
          <w:rFonts w:ascii="Times New Roman" w:hAnsi="Times New Roman" w:cs="Times New Roman"/>
          <w:sz w:val="24"/>
          <w:szCs w:val="24"/>
        </w:rPr>
      </w:pPr>
    </w:p>
    <w:p w14:paraId="43BE230A" w14:textId="5D118914" w:rsidR="006F58AE" w:rsidRDefault="00F820A2" w:rsidP="00D10EA2">
      <w:pPr>
        <w:rPr>
          <w:rFonts w:ascii="Times New Roman" w:hAnsi="Times New Roman" w:cs="Times New Roman"/>
          <w:b/>
          <w:sz w:val="24"/>
          <w:szCs w:val="24"/>
        </w:rPr>
      </w:pPr>
      <w:r w:rsidRPr="00170E72">
        <w:rPr>
          <w:rFonts w:ascii="Times New Roman" w:hAnsi="Times New Roman" w:cs="Times New Roman"/>
          <w:b/>
          <w:sz w:val="24"/>
          <w:szCs w:val="24"/>
        </w:rPr>
        <w:t>Qualification submittals</w:t>
      </w:r>
      <w:r w:rsidR="006F58AE" w:rsidRPr="00170E72">
        <w:rPr>
          <w:rFonts w:ascii="Times New Roman" w:hAnsi="Times New Roman" w:cs="Times New Roman"/>
          <w:b/>
          <w:sz w:val="24"/>
          <w:szCs w:val="24"/>
        </w:rPr>
        <w:t xml:space="preserve"> will be accepted </w:t>
      </w:r>
      <w:r w:rsidRPr="00170E72">
        <w:rPr>
          <w:rFonts w:ascii="Times New Roman" w:hAnsi="Times New Roman" w:cs="Times New Roman"/>
          <w:b/>
          <w:sz w:val="24"/>
          <w:szCs w:val="24"/>
        </w:rPr>
        <w:t>at any time</w:t>
      </w:r>
      <w:r w:rsidR="006F58AE" w:rsidRPr="00170E72">
        <w:rPr>
          <w:rFonts w:ascii="Times New Roman" w:hAnsi="Times New Roman" w:cs="Times New Roman"/>
          <w:b/>
          <w:sz w:val="24"/>
          <w:szCs w:val="24"/>
        </w:rPr>
        <w:t xml:space="preserve"> throughout the </w:t>
      </w:r>
      <w:r w:rsidR="00CC745A">
        <w:rPr>
          <w:rFonts w:ascii="Times New Roman" w:hAnsi="Times New Roman" w:cs="Times New Roman"/>
          <w:b/>
          <w:sz w:val="24"/>
          <w:szCs w:val="24"/>
        </w:rPr>
        <w:t>202</w:t>
      </w:r>
      <w:r w:rsidR="004B22BB">
        <w:rPr>
          <w:rFonts w:ascii="Times New Roman" w:hAnsi="Times New Roman" w:cs="Times New Roman"/>
          <w:b/>
          <w:sz w:val="24"/>
          <w:szCs w:val="24"/>
        </w:rPr>
        <w:t>3</w:t>
      </w:r>
      <w:r w:rsidR="00CC745A" w:rsidRPr="00170E72">
        <w:rPr>
          <w:rFonts w:ascii="Times New Roman" w:hAnsi="Times New Roman" w:cs="Times New Roman"/>
          <w:b/>
          <w:sz w:val="24"/>
          <w:szCs w:val="24"/>
        </w:rPr>
        <w:t xml:space="preserve"> </w:t>
      </w:r>
      <w:r w:rsidR="006F58AE" w:rsidRPr="00170E72">
        <w:rPr>
          <w:rFonts w:ascii="Times New Roman" w:hAnsi="Times New Roman" w:cs="Times New Roman"/>
          <w:b/>
          <w:sz w:val="24"/>
          <w:szCs w:val="24"/>
        </w:rPr>
        <w:t>calendar year.</w:t>
      </w:r>
      <w:r w:rsidR="006F58AE" w:rsidRPr="00F820A2">
        <w:rPr>
          <w:rFonts w:ascii="Times New Roman" w:hAnsi="Times New Roman" w:cs="Times New Roman"/>
          <w:sz w:val="24"/>
          <w:szCs w:val="24"/>
        </w:rPr>
        <w:t xml:space="preserve"> However, </w:t>
      </w:r>
      <w:r w:rsidRPr="00F820A2">
        <w:rPr>
          <w:rFonts w:ascii="Times New Roman" w:hAnsi="Times New Roman" w:cs="Times New Roman"/>
          <w:sz w:val="24"/>
          <w:szCs w:val="24"/>
        </w:rPr>
        <w:t xml:space="preserve">to ensure your firm is notified of each contract opportunity offered by the Partnership during the </w:t>
      </w:r>
      <w:r w:rsidR="00CC745A">
        <w:rPr>
          <w:rFonts w:ascii="Times New Roman" w:hAnsi="Times New Roman" w:cs="Times New Roman"/>
          <w:sz w:val="24"/>
          <w:szCs w:val="24"/>
        </w:rPr>
        <w:t>202</w:t>
      </w:r>
      <w:r w:rsidR="004B22BB">
        <w:rPr>
          <w:rFonts w:ascii="Times New Roman" w:hAnsi="Times New Roman" w:cs="Times New Roman"/>
          <w:sz w:val="24"/>
          <w:szCs w:val="24"/>
        </w:rPr>
        <w:t>3</w:t>
      </w:r>
      <w:r w:rsidR="00CC745A" w:rsidRPr="00F820A2">
        <w:rPr>
          <w:rFonts w:ascii="Times New Roman" w:hAnsi="Times New Roman" w:cs="Times New Roman"/>
          <w:sz w:val="24"/>
          <w:szCs w:val="24"/>
        </w:rPr>
        <w:t xml:space="preserve"> </w:t>
      </w:r>
      <w:r w:rsidRPr="00F820A2">
        <w:rPr>
          <w:rFonts w:ascii="Times New Roman" w:hAnsi="Times New Roman" w:cs="Times New Roman"/>
          <w:sz w:val="24"/>
          <w:szCs w:val="24"/>
        </w:rPr>
        <w:t xml:space="preserve">calendar year, </w:t>
      </w:r>
      <w:r w:rsidR="006F58AE" w:rsidRPr="00F820A2">
        <w:rPr>
          <w:rFonts w:ascii="Times New Roman" w:hAnsi="Times New Roman" w:cs="Times New Roman"/>
          <w:sz w:val="24"/>
          <w:szCs w:val="24"/>
        </w:rPr>
        <w:t xml:space="preserve">please submit your </w:t>
      </w:r>
      <w:r w:rsidRPr="00F820A2">
        <w:rPr>
          <w:rFonts w:ascii="Times New Roman" w:hAnsi="Times New Roman" w:cs="Times New Roman"/>
          <w:sz w:val="24"/>
          <w:szCs w:val="24"/>
        </w:rPr>
        <w:t xml:space="preserve">firm’s </w:t>
      </w:r>
      <w:r w:rsidR="006F58AE" w:rsidRPr="00F820A2">
        <w:rPr>
          <w:rFonts w:ascii="Times New Roman" w:hAnsi="Times New Roman" w:cs="Times New Roman"/>
          <w:sz w:val="24"/>
          <w:szCs w:val="24"/>
        </w:rPr>
        <w:t>qualifications</w:t>
      </w:r>
      <w:r w:rsidR="00CC745A">
        <w:rPr>
          <w:rFonts w:ascii="Times New Roman" w:hAnsi="Times New Roman" w:cs="Times New Roman"/>
          <w:sz w:val="24"/>
          <w:szCs w:val="24"/>
        </w:rPr>
        <w:t xml:space="preserve"> as soon as possible.</w:t>
      </w:r>
      <w:r w:rsidR="006F58AE" w:rsidRPr="00F820A2">
        <w:rPr>
          <w:rFonts w:ascii="Times New Roman" w:hAnsi="Times New Roman" w:cs="Times New Roman"/>
          <w:sz w:val="24"/>
          <w:szCs w:val="24"/>
        </w:rPr>
        <w:t xml:space="preserve"> </w:t>
      </w:r>
    </w:p>
    <w:p w14:paraId="705319C3" w14:textId="77777777" w:rsidR="006F58AE" w:rsidRDefault="006F58AE" w:rsidP="00D10EA2">
      <w:pPr>
        <w:rPr>
          <w:rFonts w:ascii="Times New Roman" w:hAnsi="Times New Roman" w:cs="Times New Roman"/>
          <w:b/>
          <w:sz w:val="24"/>
          <w:szCs w:val="24"/>
        </w:rPr>
      </w:pPr>
    </w:p>
    <w:p w14:paraId="3F103398" w14:textId="77777777" w:rsidR="008F1A4F" w:rsidRPr="00D10EA2" w:rsidRDefault="000C49C9" w:rsidP="00D10EA2">
      <w:pPr>
        <w:rPr>
          <w:rFonts w:ascii="Times New Roman" w:hAnsi="Times New Roman" w:cs="Times New Roman"/>
          <w:b/>
          <w:sz w:val="24"/>
          <w:szCs w:val="24"/>
        </w:rPr>
      </w:pPr>
      <w:r>
        <w:rPr>
          <w:rFonts w:ascii="Times New Roman" w:hAnsi="Times New Roman" w:cs="Times New Roman"/>
          <w:b/>
          <w:sz w:val="24"/>
          <w:szCs w:val="24"/>
        </w:rPr>
        <w:t>Please submit one PDF copy of</w:t>
      </w:r>
      <w:r w:rsidR="008F1A4F" w:rsidRPr="00D10EA2">
        <w:rPr>
          <w:rFonts w:ascii="Times New Roman" w:hAnsi="Times New Roman" w:cs="Times New Roman"/>
          <w:b/>
          <w:sz w:val="24"/>
          <w:szCs w:val="24"/>
        </w:rPr>
        <w:t xml:space="preserve"> statement of qualifications to:</w:t>
      </w:r>
    </w:p>
    <w:p w14:paraId="6B981B78" w14:textId="77777777" w:rsidR="008F1A4F" w:rsidRPr="00D10EA2" w:rsidRDefault="008F1A4F" w:rsidP="00D10EA2">
      <w:pPr>
        <w:rPr>
          <w:rFonts w:ascii="Times New Roman" w:hAnsi="Times New Roman" w:cs="Times New Roman"/>
          <w:sz w:val="24"/>
          <w:szCs w:val="24"/>
        </w:rPr>
      </w:pPr>
    </w:p>
    <w:p w14:paraId="4562AED9" w14:textId="77777777" w:rsidR="00376674" w:rsidRDefault="008F1A4F" w:rsidP="00376674">
      <w:pPr>
        <w:ind w:firstLine="720"/>
        <w:rPr>
          <w:rFonts w:ascii="Times New Roman" w:hAnsi="Times New Roman" w:cs="Times New Roman"/>
          <w:b/>
          <w:sz w:val="24"/>
          <w:szCs w:val="24"/>
        </w:rPr>
      </w:pPr>
      <w:r w:rsidRPr="00D10EA2">
        <w:rPr>
          <w:rFonts w:ascii="Times New Roman" w:hAnsi="Times New Roman" w:cs="Times New Roman"/>
          <w:b/>
          <w:sz w:val="24"/>
          <w:szCs w:val="24"/>
        </w:rPr>
        <w:t>St. Louis Economic Development Partnership</w:t>
      </w:r>
    </w:p>
    <w:p w14:paraId="75DA962B" w14:textId="0D3A230D" w:rsidR="008F1A4F" w:rsidRPr="00D10EA2" w:rsidRDefault="006F58AE" w:rsidP="00D10EA2">
      <w:pPr>
        <w:ind w:firstLine="720"/>
        <w:rPr>
          <w:rFonts w:ascii="Times New Roman" w:hAnsi="Times New Roman" w:cs="Times New Roman"/>
          <w:b/>
          <w:sz w:val="24"/>
          <w:szCs w:val="24"/>
        </w:rPr>
      </w:pPr>
      <w:r>
        <w:rPr>
          <w:rFonts w:ascii="Times New Roman" w:hAnsi="Times New Roman" w:cs="Times New Roman"/>
          <w:b/>
          <w:sz w:val="24"/>
          <w:szCs w:val="24"/>
        </w:rPr>
        <w:t xml:space="preserve">Attn: </w:t>
      </w:r>
      <w:r w:rsidR="00CC745A">
        <w:rPr>
          <w:rFonts w:ascii="Times New Roman" w:hAnsi="Times New Roman" w:cs="Times New Roman"/>
          <w:b/>
          <w:sz w:val="24"/>
          <w:szCs w:val="24"/>
        </w:rPr>
        <w:t>Dana Cook</w:t>
      </w:r>
    </w:p>
    <w:p w14:paraId="5DBFD991" w14:textId="0A5F7089" w:rsidR="008F1A4F" w:rsidRPr="00D10EA2" w:rsidRDefault="00024181" w:rsidP="00D10EA2">
      <w:pPr>
        <w:ind w:firstLine="720"/>
        <w:rPr>
          <w:rFonts w:ascii="Times New Roman" w:hAnsi="Times New Roman" w:cs="Times New Roman"/>
          <w:b/>
          <w:sz w:val="24"/>
          <w:szCs w:val="24"/>
        </w:rPr>
      </w:pPr>
      <w:hyperlink r:id="rId6" w:history="1">
        <w:r w:rsidR="00CC745A">
          <w:rPr>
            <w:rStyle w:val="Hyperlink"/>
            <w:rFonts w:ascii="Times New Roman" w:hAnsi="Times New Roman" w:cs="Times New Roman"/>
            <w:b/>
            <w:sz w:val="24"/>
            <w:szCs w:val="24"/>
          </w:rPr>
          <w:t>dcook</w:t>
        </w:r>
        <w:r w:rsidR="00CC745A" w:rsidRPr="00D10EA2">
          <w:rPr>
            <w:rStyle w:val="Hyperlink"/>
            <w:rFonts w:ascii="Times New Roman" w:hAnsi="Times New Roman" w:cs="Times New Roman"/>
            <w:b/>
            <w:sz w:val="24"/>
            <w:szCs w:val="24"/>
          </w:rPr>
          <w:t>@stlpartnership.com</w:t>
        </w:r>
      </w:hyperlink>
    </w:p>
    <w:p w14:paraId="240A89E3" w14:textId="77777777" w:rsidR="00D10EA2" w:rsidRDefault="00D10EA2" w:rsidP="00D10EA2">
      <w:pPr>
        <w:contextualSpacing/>
        <w:rPr>
          <w:rFonts w:ascii="Times New Roman" w:hAnsi="Times New Roman" w:cs="Times New Roman"/>
          <w:sz w:val="24"/>
          <w:szCs w:val="24"/>
        </w:rPr>
      </w:pPr>
    </w:p>
    <w:p w14:paraId="435886C2" w14:textId="77777777" w:rsidR="00A273E1" w:rsidRDefault="00A273E1" w:rsidP="00D10EA2">
      <w:pPr>
        <w:contextualSpacing/>
        <w:rPr>
          <w:rFonts w:ascii="Times New Roman" w:hAnsi="Times New Roman" w:cs="Times New Roman"/>
          <w:sz w:val="24"/>
          <w:szCs w:val="24"/>
        </w:rPr>
      </w:pPr>
    </w:p>
    <w:p w14:paraId="36368A48" w14:textId="77777777" w:rsidR="00A273E1" w:rsidRDefault="00A273E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bookmarkStart w:id="1" w:name="_GoBack"/>
      <w:bookmarkEnd w:id="1"/>
    </w:p>
    <w:p w14:paraId="6563C2C5" w14:textId="77777777" w:rsidR="00A273E1" w:rsidRDefault="00A273E1" w:rsidP="00A273E1">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EXHIBIT A</w:t>
      </w:r>
    </w:p>
    <w:p w14:paraId="3F33FEDF" w14:textId="77777777" w:rsidR="00A273E1" w:rsidRDefault="00A273E1" w:rsidP="00A273E1">
      <w:pPr>
        <w:contextualSpacing/>
        <w:jc w:val="center"/>
        <w:rPr>
          <w:rFonts w:ascii="Times New Roman" w:hAnsi="Times New Roman" w:cs="Times New Roman"/>
          <w:b/>
          <w:sz w:val="24"/>
          <w:szCs w:val="24"/>
          <w:u w:val="single"/>
        </w:rPr>
      </w:pPr>
    </w:p>
    <w:p w14:paraId="48C57BCA" w14:textId="77777777" w:rsidR="00A273E1" w:rsidRDefault="00A273E1" w:rsidP="00A273E1">
      <w:pPr>
        <w:contextualSpacing/>
        <w:jc w:val="center"/>
        <w:rPr>
          <w:rFonts w:ascii="Times New Roman" w:hAnsi="Times New Roman" w:cs="Times New Roman"/>
          <w:b/>
          <w:sz w:val="24"/>
          <w:szCs w:val="24"/>
        </w:rPr>
      </w:pPr>
      <w:r>
        <w:rPr>
          <w:rFonts w:ascii="Times New Roman" w:hAnsi="Times New Roman" w:cs="Times New Roman"/>
          <w:b/>
          <w:sz w:val="24"/>
          <w:szCs w:val="24"/>
        </w:rPr>
        <w:t>Definitions</w:t>
      </w:r>
    </w:p>
    <w:p w14:paraId="5B2AD8DC" w14:textId="77777777" w:rsidR="00A273E1" w:rsidRDefault="00A273E1" w:rsidP="00A273E1">
      <w:pPr>
        <w:contextualSpacing/>
        <w:jc w:val="center"/>
        <w:rPr>
          <w:rFonts w:ascii="Times New Roman" w:hAnsi="Times New Roman" w:cs="Times New Roman"/>
          <w:b/>
          <w:sz w:val="24"/>
          <w:szCs w:val="24"/>
        </w:rPr>
      </w:pPr>
    </w:p>
    <w:p w14:paraId="15CE6004" w14:textId="77777777" w:rsidR="00A273E1" w:rsidRPr="007A3F68" w:rsidRDefault="00A273E1" w:rsidP="00A273E1">
      <w:pPr>
        <w:pStyle w:val="ListParagraph"/>
        <w:numPr>
          <w:ilvl w:val="0"/>
          <w:numId w:val="4"/>
        </w:numPr>
        <w:tabs>
          <w:tab w:val="center" w:pos="4680"/>
        </w:tabs>
        <w:ind w:left="1008"/>
        <w:contextualSpacing w:val="0"/>
        <w:rPr>
          <w:rFonts w:ascii="Times New Roman" w:hAnsi="Times New Roman"/>
          <w:spacing w:val="-3"/>
        </w:rPr>
      </w:pPr>
      <w:r w:rsidRPr="00FA022A">
        <w:rPr>
          <w:rFonts w:ascii="Times New Roman" w:hAnsi="Times New Roman"/>
          <w:spacing w:val="-3"/>
          <w:u w:val="single"/>
        </w:rPr>
        <w:t>Minority Business Enterprise (“MBE”)</w:t>
      </w:r>
      <w:r w:rsidRPr="00FA022A">
        <w:rPr>
          <w:rFonts w:ascii="Times New Roman" w:hAnsi="Times New Roman"/>
          <w:spacing w:val="-3"/>
        </w:rPr>
        <w:t xml:space="preserve"> - A business owned, operated, and controlled by </w:t>
      </w:r>
      <w:r>
        <w:rPr>
          <w:rFonts w:ascii="Times New Roman" w:hAnsi="Times New Roman"/>
          <w:spacing w:val="-3"/>
        </w:rPr>
        <w:t>Minority Group Members</w:t>
      </w:r>
      <w:r w:rsidRPr="00FA022A">
        <w:rPr>
          <w:rFonts w:ascii="Times New Roman" w:hAnsi="Times New Roman"/>
          <w:spacing w:val="-3"/>
        </w:rPr>
        <w:t xml:space="preserve"> who have at least fifty-one percent (51%) of the ownership of the business. Such </w:t>
      </w:r>
      <w:r>
        <w:rPr>
          <w:rFonts w:ascii="Times New Roman" w:hAnsi="Times New Roman"/>
          <w:spacing w:val="-3"/>
        </w:rPr>
        <w:t>Minority Group Members</w:t>
      </w:r>
      <w:r w:rsidRPr="00FA022A">
        <w:rPr>
          <w:rFonts w:ascii="Times New Roman" w:hAnsi="Times New Roman"/>
          <w:spacing w:val="-3"/>
        </w:rPr>
        <w:t xml:space="preserve"> must have day-to-day operational and managerial control of the business and an interest in capital and earnings of the business commensu</w:t>
      </w:r>
      <w:r w:rsidRPr="00FA022A">
        <w:rPr>
          <w:rFonts w:ascii="Times New Roman" w:hAnsi="Times New Roman"/>
          <w:spacing w:val="-3"/>
        </w:rPr>
        <w:softHyphen/>
        <w:t>rate with their percentage of ownership of the business.</w:t>
      </w:r>
      <w:r>
        <w:rPr>
          <w:rFonts w:ascii="Times New Roman" w:hAnsi="Times New Roman"/>
          <w:spacing w:val="-3"/>
        </w:rPr>
        <w:t xml:space="preserve"> </w:t>
      </w:r>
    </w:p>
    <w:p w14:paraId="2946491B" w14:textId="77777777" w:rsidR="00A273E1" w:rsidRPr="007A3F68" w:rsidRDefault="00A273E1" w:rsidP="00A273E1">
      <w:pPr>
        <w:tabs>
          <w:tab w:val="center" w:pos="4680"/>
        </w:tabs>
        <w:rPr>
          <w:rFonts w:ascii="Times New Roman" w:hAnsi="Times New Roman"/>
          <w:spacing w:val="-3"/>
        </w:rPr>
      </w:pPr>
    </w:p>
    <w:p w14:paraId="086F4783" w14:textId="77777777" w:rsidR="00A273E1" w:rsidRPr="00FA022A" w:rsidRDefault="00A273E1" w:rsidP="00A273E1">
      <w:pPr>
        <w:pStyle w:val="ListParagraph"/>
        <w:numPr>
          <w:ilvl w:val="0"/>
          <w:numId w:val="4"/>
        </w:numPr>
        <w:tabs>
          <w:tab w:val="center" w:pos="4680"/>
        </w:tabs>
        <w:ind w:left="1008"/>
        <w:contextualSpacing w:val="0"/>
        <w:rPr>
          <w:rFonts w:ascii="Times New Roman" w:hAnsi="Times New Roman"/>
          <w:spacing w:val="-3"/>
        </w:rPr>
      </w:pPr>
      <w:r w:rsidRPr="00FA022A">
        <w:rPr>
          <w:rFonts w:ascii="Times New Roman" w:hAnsi="Times New Roman"/>
          <w:spacing w:val="-3"/>
          <w:u w:val="single"/>
        </w:rPr>
        <w:t>Women Business Enterprise (“WBE”)</w:t>
      </w:r>
      <w:r w:rsidRPr="00FA022A">
        <w:rPr>
          <w:rFonts w:ascii="Times New Roman" w:hAnsi="Times New Roman"/>
          <w:spacing w:val="-3"/>
        </w:rPr>
        <w:t xml:space="preserve"> - A business owned, operated, and controlled by a woman or women who have at least fifty-one percent (51%) of the ownership of the business. Such woman or women must have day-to-day operational and managerial control of the business and an interest in capital and earnings of the business commensurate with their percent</w:t>
      </w:r>
      <w:r w:rsidRPr="00FA022A">
        <w:rPr>
          <w:rFonts w:ascii="Times New Roman" w:hAnsi="Times New Roman"/>
          <w:spacing w:val="-3"/>
        </w:rPr>
        <w:softHyphen/>
        <w:t>age of ownership of the business.</w:t>
      </w:r>
    </w:p>
    <w:p w14:paraId="301710A2" w14:textId="77777777" w:rsidR="00A273E1" w:rsidRPr="00FA022A" w:rsidRDefault="00A273E1" w:rsidP="00A273E1">
      <w:pPr>
        <w:tabs>
          <w:tab w:val="left" w:pos="720"/>
          <w:tab w:val="center" w:pos="4680"/>
        </w:tabs>
        <w:rPr>
          <w:rFonts w:ascii="Times New Roman" w:hAnsi="Times New Roman"/>
        </w:rPr>
      </w:pPr>
    </w:p>
    <w:p w14:paraId="7FE5D87C" w14:textId="77777777" w:rsidR="00A273E1" w:rsidRPr="003E4DBE" w:rsidRDefault="00A273E1" w:rsidP="00A273E1">
      <w:pPr>
        <w:pStyle w:val="ListParagraph"/>
        <w:numPr>
          <w:ilvl w:val="0"/>
          <w:numId w:val="4"/>
        </w:numPr>
        <w:tabs>
          <w:tab w:val="center" w:pos="4680"/>
        </w:tabs>
        <w:ind w:left="1008"/>
        <w:contextualSpacing w:val="0"/>
        <w:rPr>
          <w:rFonts w:ascii="Times New Roman" w:hAnsi="Times New Roman"/>
          <w:spacing w:val="-3"/>
        </w:rPr>
      </w:pPr>
      <w:r w:rsidRPr="007A3F68">
        <w:rPr>
          <w:rFonts w:ascii="Times New Roman" w:hAnsi="Times New Roman"/>
          <w:u w:val="single"/>
        </w:rPr>
        <w:t>Minority Group Members</w:t>
      </w:r>
      <w:r>
        <w:rPr>
          <w:rFonts w:ascii="Times New Roman" w:hAnsi="Times New Roman"/>
        </w:rPr>
        <w:t xml:space="preserve"> - Minority Group Members shall include, but are not limited to, members of the following: </w:t>
      </w:r>
    </w:p>
    <w:p w14:paraId="2FAF11BF" w14:textId="77777777" w:rsidR="00A273E1" w:rsidRDefault="00A273E1" w:rsidP="00A273E1">
      <w:pPr>
        <w:tabs>
          <w:tab w:val="center" w:pos="4680"/>
        </w:tabs>
        <w:rPr>
          <w:rFonts w:ascii="Times New Roman" w:hAnsi="Times New Roman"/>
          <w:spacing w:val="-3"/>
        </w:rPr>
      </w:pPr>
    </w:p>
    <w:p w14:paraId="6A489A3C" w14:textId="77777777" w:rsidR="00A273E1" w:rsidRPr="003E4DBE" w:rsidRDefault="00A273E1" w:rsidP="00A273E1">
      <w:pPr>
        <w:pStyle w:val="ListParagraph"/>
        <w:numPr>
          <w:ilvl w:val="0"/>
          <w:numId w:val="5"/>
        </w:numPr>
        <w:ind w:left="1440" w:hanging="432"/>
        <w:rPr>
          <w:rFonts w:ascii="Times New Roman" w:hAnsi="Times New Roman"/>
          <w:spacing w:val="-3"/>
        </w:rPr>
      </w:pPr>
      <w:r>
        <w:rPr>
          <w:rFonts w:ascii="Times New Roman" w:hAnsi="Times New Roman"/>
        </w:rPr>
        <w:t>“</w:t>
      </w:r>
      <w:r w:rsidRPr="00FA022A">
        <w:rPr>
          <w:rFonts w:ascii="Times New Roman" w:hAnsi="Times New Roman"/>
        </w:rPr>
        <w:t>Black Americans,</w:t>
      </w:r>
      <w:r>
        <w:rPr>
          <w:rFonts w:ascii="Times New Roman" w:hAnsi="Times New Roman"/>
        </w:rPr>
        <w:t>”</w:t>
      </w:r>
      <w:r w:rsidRPr="00FA022A">
        <w:rPr>
          <w:rFonts w:ascii="Times New Roman" w:hAnsi="Times New Roman"/>
        </w:rPr>
        <w:t xml:space="preserve"> which includes persons having origins in any of the Black racial groups of Africa</w:t>
      </w:r>
      <w:r>
        <w:rPr>
          <w:rFonts w:ascii="Times New Roman" w:hAnsi="Times New Roman"/>
        </w:rPr>
        <w:t>;</w:t>
      </w:r>
    </w:p>
    <w:p w14:paraId="7E51E56E" w14:textId="77777777" w:rsidR="00A273E1" w:rsidRPr="003E4DBE" w:rsidRDefault="00A273E1" w:rsidP="00A273E1">
      <w:pPr>
        <w:pStyle w:val="ListParagraph"/>
        <w:ind w:left="1440" w:hanging="432"/>
        <w:rPr>
          <w:rFonts w:ascii="Times New Roman" w:hAnsi="Times New Roman"/>
          <w:spacing w:val="-3"/>
        </w:rPr>
      </w:pPr>
    </w:p>
    <w:p w14:paraId="26DBB3E9" w14:textId="77777777" w:rsidR="00A273E1" w:rsidRPr="003E4DBE" w:rsidRDefault="00A273E1" w:rsidP="00A273E1">
      <w:pPr>
        <w:pStyle w:val="ListParagraph"/>
        <w:numPr>
          <w:ilvl w:val="0"/>
          <w:numId w:val="5"/>
        </w:numPr>
        <w:ind w:left="1440" w:hanging="432"/>
        <w:rPr>
          <w:rFonts w:ascii="Times New Roman" w:hAnsi="Times New Roman"/>
          <w:spacing w:val="-3"/>
        </w:rPr>
      </w:pPr>
      <w:r>
        <w:rPr>
          <w:rFonts w:ascii="Times New Roman" w:hAnsi="Times New Roman"/>
        </w:rPr>
        <w:t>“</w:t>
      </w:r>
      <w:r w:rsidRPr="00FA022A">
        <w:rPr>
          <w:rFonts w:ascii="Times New Roman" w:hAnsi="Times New Roman"/>
        </w:rPr>
        <w:t>Hispanic Americans,</w:t>
      </w:r>
      <w:r>
        <w:rPr>
          <w:rFonts w:ascii="Times New Roman" w:hAnsi="Times New Roman"/>
        </w:rPr>
        <w:t>”</w:t>
      </w:r>
      <w:r w:rsidRPr="00FA022A">
        <w:rPr>
          <w:rFonts w:ascii="Times New Roman" w:hAnsi="Times New Roman"/>
        </w:rPr>
        <w:t xml:space="preserve"> which includes persons of Mexican, Puerto Rican, Cuban, Dominican, Central or South American, or other Spanish or Portuguese culture or origin, regardless of race</w:t>
      </w:r>
      <w:r>
        <w:rPr>
          <w:rFonts w:ascii="Times New Roman" w:hAnsi="Times New Roman"/>
        </w:rPr>
        <w:t>;</w:t>
      </w:r>
    </w:p>
    <w:p w14:paraId="5591AA5D" w14:textId="77777777" w:rsidR="00A273E1" w:rsidRPr="003E4DBE" w:rsidRDefault="00A273E1" w:rsidP="00A273E1">
      <w:pPr>
        <w:pStyle w:val="ListParagraph"/>
        <w:ind w:left="1440" w:hanging="432"/>
        <w:rPr>
          <w:rFonts w:ascii="Times New Roman" w:hAnsi="Times New Roman"/>
          <w:spacing w:val="-3"/>
        </w:rPr>
      </w:pPr>
    </w:p>
    <w:p w14:paraId="50419EE1" w14:textId="77777777" w:rsidR="00A273E1" w:rsidRPr="003E4DBE" w:rsidRDefault="00A273E1" w:rsidP="00A273E1">
      <w:pPr>
        <w:pStyle w:val="ListParagraph"/>
        <w:numPr>
          <w:ilvl w:val="0"/>
          <w:numId w:val="5"/>
        </w:numPr>
        <w:ind w:left="1440" w:hanging="432"/>
        <w:rPr>
          <w:rFonts w:ascii="Times New Roman" w:hAnsi="Times New Roman"/>
          <w:spacing w:val="-3"/>
        </w:rPr>
      </w:pPr>
      <w:r>
        <w:rPr>
          <w:rFonts w:ascii="Times New Roman" w:hAnsi="Times New Roman"/>
        </w:rPr>
        <w:t>“</w:t>
      </w:r>
      <w:r w:rsidRPr="00FA022A">
        <w:rPr>
          <w:rFonts w:ascii="Times New Roman" w:hAnsi="Times New Roman"/>
        </w:rPr>
        <w:t>Native Americans,</w:t>
      </w:r>
      <w:r>
        <w:rPr>
          <w:rFonts w:ascii="Times New Roman" w:hAnsi="Times New Roman"/>
        </w:rPr>
        <w:t>”</w:t>
      </w:r>
      <w:r w:rsidRPr="00FA022A">
        <w:rPr>
          <w:rFonts w:ascii="Times New Roman" w:hAnsi="Times New Roman"/>
        </w:rPr>
        <w:t xml:space="preserve"> which includes persons who are American Indians, Eskimos, Aleuts, or Native Hawaiians</w:t>
      </w:r>
      <w:r>
        <w:rPr>
          <w:rFonts w:ascii="Times New Roman" w:hAnsi="Times New Roman"/>
        </w:rPr>
        <w:t>;</w:t>
      </w:r>
    </w:p>
    <w:p w14:paraId="00790990" w14:textId="77777777" w:rsidR="00A273E1" w:rsidRPr="003E4DBE" w:rsidRDefault="00A273E1" w:rsidP="00A273E1">
      <w:pPr>
        <w:pStyle w:val="ListParagraph"/>
        <w:ind w:left="1440" w:hanging="432"/>
        <w:rPr>
          <w:rFonts w:ascii="Times New Roman" w:hAnsi="Times New Roman"/>
          <w:spacing w:val="-3"/>
        </w:rPr>
      </w:pPr>
    </w:p>
    <w:p w14:paraId="3E709B66" w14:textId="77777777" w:rsidR="00A273E1" w:rsidRPr="003E4DBE" w:rsidRDefault="00A273E1" w:rsidP="00A273E1">
      <w:pPr>
        <w:pStyle w:val="ListParagraph"/>
        <w:numPr>
          <w:ilvl w:val="0"/>
          <w:numId w:val="5"/>
        </w:numPr>
        <w:ind w:left="1440" w:hanging="432"/>
        <w:rPr>
          <w:rFonts w:ascii="Times New Roman" w:hAnsi="Times New Roman"/>
          <w:spacing w:val="-3"/>
        </w:rPr>
      </w:pPr>
      <w:r>
        <w:rPr>
          <w:rFonts w:ascii="Times New Roman" w:hAnsi="Times New Roman"/>
        </w:rPr>
        <w:t>“</w:t>
      </w:r>
      <w:r w:rsidRPr="00FA022A">
        <w:rPr>
          <w:rFonts w:ascii="Times New Roman" w:hAnsi="Times New Roman"/>
        </w:rPr>
        <w:t>Asian-Pacific Americans,</w:t>
      </w:r>
      <w:r>
        <w:rPr>
          <w:rFonts w:ascii="Times New Roman" w:hAnsi="Times New Roman"/>
        </w:rPr>
        <w:t>”</w:t>
      </w:r>
      <w:r w:rsidRPr="00FA022A">
        <w:rPr>
          <w:rFonts w:ascii="Times New Roman" w:hAnsi="Times New Roman"/>
        </w:rPr>
        <w:t xml:space="preserve"> which includes persons whose origins are from Japan, China, Taiwan, Korea, Burma (Myanmar), Vietnam, Laos, Cambodia (Kampuchea), Thailand, Malaysia, Indonesia, the Philippines, Brunei, Samoa, Guam, the U.S. Trust Territories of the Pacific Islands (Republic of Palau), the Commonwealth of the Northern Marianas Islands, Macao, Fiji, Tonga, Kiribati, Tuvalu, Nauru, Federated States of Micronesia, or Hong Kong</w:t>
      </w:r>
      <w:r>
        <w:rPr>
          <w:rFonts w:ascii="Times New Roman" w:hAnsi="Times New Roman"/>
        </w:rPr>
        <w:t>; and</w:t>
      </w:r>
    </w:p>
    <w:p w14:paraId="010679D7" w14:textId="77777777" w:rsidR="00A273E1" w:rsidRPr="003E4DBE" w:rsidRDefault="00A273E1" w:rsidP="00A273E1">
      <w:pPr>
        <w:pStyle w:val="ListParagraph"/>
        <w:ind w:left="1440" w:hanging="432"/>
        <w:rPr>
          <w:rFonts w:ascii="Times New Roman" w:hAnsi="Times New Roman"/>
          <w:spacing w:val="-3"/>
        </w:rPr>
      </w:pPr>
    </w:p>
    <w:p w14:paraId="707CED9E" w14:textId="77777777" w:rsidR="00A273E1" w:rsidRPr="003E4DBE" w:rsidRDefault="00A273E1" w:rsidP="00A273E1">
      <w:pPr>
        <w:pStyle w:val="ListParagraph"/>
        <w:numPr>
          <w:ilvl w:val="0"/>
          <w:numId w:val="5"/>
        </w:numPr>
        <w:ind w:left="1440" w:hanging="432"/>
        <w:rPr>
          <w:rFonts w:ascii="Times New Roman" w:hAnsi="Times New Roman"/>
          <w:spacing w:val="-3"/>
        </w:rPr>
      </w:pPr>
      <w:r>
        <w:rPr>
          <w:rFonts w:ascii="Times New Roman" w:hAnsi="Times New Roman"/>
        </w:rPr>
        <w:t>“</w:t>
      </w:r>
      <w:r w:rsidRPr="00FA022A">
        <w:rPr>
          <w:rFonts w:ascii="Times New Roman" w:hAnsi="Times New Roman"/>
        </w:rPr>
        <w:t>Subcontinent Asian Americans,</w:t>
      </w:r>
      <w:r>
        <w:rPr>
          <w:rFonts w:ascii="Times New Roman" w:hAnsi="Times New Roman"/>
        </w:rPr>
        <w:t>”</w:t>
      </w:r>
      <w:r w:rsidRPr="00FA022A">
        <w:rPr>
          <w:rFonts w:ascii="Times New Roman" w:hAnsi="Times New Roman"/>
        </w:rPr>
        <w:t xml:space="preserve"> which includes persons whose origins are from India, Pakistan, Bangladesh, Bhutan, the Maldives Islands, Nepal, or Sri Lanka</w:t>
      </w:r>
      <w:r>
        <w:rPr>
          <w:rFonts w:ascii="Times New Roman" w:hAnsi="Times New Roman"/>
        </w:rPr>
        <w:t>.</w:t>
      </w:r>
    </w:p>
    <w:p w14:paraId="03B4AF4E" w14:textId="77777777" w:rsidR="00A273E1" w:rsidRPr="007A3F68" w:rsidRDefault="00A273E1" w:rsidP="00A273E1">
      <w:pPr>
        <w:tabs>
          <w:tab w:val="center" w:pos="4680"/>
        </w:tabs>
        <w:jc w:val="both"/>
        <w:rPr>
          <w:rFonts w:ascii="Times New Roman" w:hAnsi="Times New Roman"/>
          <w:spacing w:val="-3"/>
        </w:rPr>
      </w:pPr>
    </w:p>
    <w:p w14:paraId="45B5E760" w14:textId="77777777" w:rsidR="00A273E1" w:rsidRPr="00A273E1" w:rsidRDefault="00A273E1" w:rsidP="00A273E1">
      <w:pPr>
        <w:contextualSpacing/>
        <w:rPr>
          <w:rFonts w:ascii="Times New Roman" w:hAnsi="Times New Roman" w:cs="Times New Roman"/>
          <w:sz w:val="24"/>
          <w:szCs w:val="24"/>
        </w:rPr>
      </w:pPr>
    </w:p>
    <w:sectPr w:rsidR="00A273E1" w:rsidRPr="00A273E1" w:rsidSect="00B4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15644"/>
    <w:multiLevelType w:val="multilevel"/>
    <w:tmpl w:val="5BEC0560"/>
    <w:lvl w:ilvl="0">
      <w:start w:val="1"/>
      <w:numFmt w:val="bullet"/>
      <w:lvlText w:val=""/>
      <w:lvlJc w:val="left"/>
      <w:pPr>
        <w:tabs>
          <w:tab w:val="decimal" w:pos="360"/>
        </w:tabs>
        <w:ind w:left="720"/>
      </w:pPr>
      <w:rPr>
        <w:rFonts w:ascii="Symbol" w:hAnsi="Symbol"/>
        <w:strike w:val="0"/>
        <w:color w:val="000000"/>
        <w:spacing w:val="1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2913A4"/>
    <w:multiLevelType w:val="multilevel"/>
    <w:tmpl w:val="4B8EFFD2"/>
    <w:lvl w:ilvl="0">
      <w:start w:val="1"/>
      <w:numFmt w:val="bullet"/>
      <w:lvlText w:val=""/>
      <w:lvlJc w:val="left"/>
      <w:pPr>
        <w:tabs>
          <w:tab w:val="decimal" w:pos="432"/>
        </w:tabs>
        <w:ind w:left="720"/>
      </w:pPr>
      <w:rPr>
        <w:rFonts w:ascii="Symbol" w:hAnsi="Symbo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E05C77"/>
    <w:multiLevelType w:val="hybridMultilevel"/>
    <w:tmpl w:val="1444B698"/>
    <w:lvl w:ilvl="0" w:tplc="E76CC9F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57385589"/>
    <w:multiLevelType w:val="multilevel"/>
    <w:tmpl w:val="78ACBB04"/>
    <w:lvl w:ilvl="0">
      <w:start w:val="1"/>
      <w:numFmt w:val="bullet"/>
      <w:lvlText w:val=""/>
      <w:lvlJc w:val="left"/>
      <w:pPr>
        <w:tabs>
          <w:tab w:val="decimal" w:pos="360"/>
        </w:tabs>
        <w:ind w:left="720"/>
      </w:pPr>
      <w:rPr>
        <w:rFonts w:ascii="Symbol" w:hAnsi="Symbol"/>
        <w:b/>
        <w:strike w:val="0"/>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1101D5"/>
    <w:multiLevelType w:val="hybridMultilevel"/>
    <w:tmpl w:val="B84A663C"/>
    <w:lvl w:ilvl="0" w:tplc="6226C6A8">
      <w:start w:val="1"/>
      <w:numFmt w:val="upperLetter"/>
      <w:lvlText w:val="(%1)"/>
      <w:lvlJc w:val="left"/>
      <w:pPr>
        <w:tabs>
          <w:tab w:val="num" w:pos="3168"/>
        </w:tabs>
        <w:ind w:left="3168" w:hanging="648"/>
      </w:pPr>
      <w:rPr>
        <w:rFonts w:hint="default"/>
        <w:u w:val="none"/>
      </w:rPr>
    </w:lvl>
    <w:lvl w:ilvl="1" w:tplc="04090019">
      <w:start w:val="1"/>
      <w:numFmt w:val="lowerLetter"/>
      <w:lvlText w:val="%2."/>
      <w:lvlJc w:val="left"/>
      <w:pPr>
        <w:ind w:left="3888" w:hanging="360"/>
      </w:pPr>
    </w:lvl>
    <w:lvl w:ilvl="2" w:tplc="0409001B" w:tentative="1">
      <w:start w:val="1"/>
      <w:numFmt w:val="lowerRoman"/>
      <w:lvlText w:val="%3."/>
      <w:lvlJc w:val="right"/>
      <w:pPr>
        <w:ind w:left="4608" w:hanging="180"/>
      </w:pPr>
    </w:lvl>
    <w:lvl w:ilvl="3" w:tplc="0409000F" w:tentative="1">
      <w:start w:val="1"/>
      <w:numFmt w:val="decimal"/>
      <w:lvlText w:val="%4."/>
      <w:lvlJc w:val="left"/>
      <w:pPr>
        <w:ind w:left="5328" w:hanging="360"/>
      </w:pPr>
    </w:lvl>
    <w:lvl w:ilvl="4" w:tplc="04090019" w:tentative="1">
      <w:start w:val="1"/>
      <w:numFmt w:val="lowerLetter"/>
      <w:lvlText w:val="%5."/>
      <w:lvlJc w:val="left"/>
      <w:pPr>
        <w:ind w:left="6048" w:hanging="360"/>
      </w:pPr>
    </w:lvl>
    <w:lvl w:ilvl="5" w:tplc="0409001B" w:tentative="1">
      <w:start w:val="1"/>
      <w:numFmt w:val="lowerRoman"/>
      <w:lvlText w:val="%6."/>
      <w:lvlJc w:val="right"/>
      <w:pPr>
        <w:ind w:left="6768" w:hanging="180"/>
      </w:pPr>
    </w:lvl>
    <w:lvl w:ilvl="6" w:tplc="0409000F" w:tentative="1">
      <w:start w:val="1"/>
      <w:numFmt w:val="decimal"/>
      <w:lvlText w:val="%7."/>
      <w:lvlJc w:val="left"/>
      <w:pPr>
        <w:ind w:left="7488" w:hanging="360"/>
      </w:pPr>
    </w:lvl>
    <w:lvl w:ilvl="7" w:tplc="04090019" w:tentative="1">
      <w:start w:val="1"/>
      <w:numFmt w:val="lowerLetter"/>
      <w:lvlText w:val="%8."/>
      <w:lvlJc w:val="left"/>
      <w:pPr>
        <w:ind w:left="8208" w:hanging="360"/>
      </w:pPr>
    </w:lvl>
    <w:lvl w:ilvl="8" w:tplc="0409001B" w:tentative="1">
      <w:start w:val="1"/>
      <w:numFmt w:val="lowerRoman"/>
      <w:lvlText w:val="%9."/>
      <w:lvlJc w:val="right"/>
      <w:pPr>
        <w:ind w:left="8928"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4F"/>
    <w:rsid w:val="000019A3"/>
    <w:rsid w:val="0006603E"/>
    <w:rsid w:val="000A093C"/>
    <w:rsid w:val="000C49C9"/>
    <w:rsid w:val="00122326"/>
    <w:rsid w:val="00170E72"/>
    <w:rsid w:val="00175804"/>
    <w:rsid w:val="001B44B8"/>
    <w:rsid w:val="0025053C"/>
    <w:rsid w:val="00254639"/>
    <w:rsid w:val="00261E12"/>
    <w:rsid w:val="002E3437"/>
    <w:rsid w:val="00376674"/>
    <w:rsid w:val="00396122"/>
    <w:rsid w:val="003A6453"/>
    <w:rsid w:val="003E45AE"/>
    <w:rsid w:val="0041243B"/>
    <w:rsid w:val="004B22BB"/>
    <w:rsid w:val="004E49B7"/>
    <w:rsid w:val="005528F8"/>
    <w:rsid w:val="00591DF3"/>
    <w:rsid w:val="006100BC"/>
    <w:rsid w:val="006D7611"/>
    <w:rsid w:val="006F58AE"/>
    <w:rsid w:val="006F63DF"/>
    <w:rsid w:val="0073535F"/>
    <w:rsid w:val="007A769C"/>
    <w:rsid w:val="008350FB"/>
    <w:rsid w:val="008C7605"/>
    <w:rsid w:val="008E09E5"/>
    <w:rsid w:val="008F1A4F"/>
    <w:rsid w:val="00964FE3"/>
    <w:rsid w:val="00A12AC6"/>
    <w:rsid w:val="00A273E1"/>
    <w:rsid w:val="00B42A4F"/>
    <w:rsid w:val="00B82C26"/>
    <w:rsid w:val="00CC745A"/>
    <w:rsid w:val="00D10EA2"/>
    <w:rsid w:val="00D819FE"/>
    <w:rsid w:val="00DC2C00"/>
    <w:rsid w:val="00DE38B6"/>
    <w:rsid w:val="00ED3569"/>
    <w:rsid w:val="00F235F5"/>
    <w:rsid w:val="00F820A2"/>
    <w:rsid w:val="00FF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B0B5"/>
  <w15:docId w15:val="{DF35A457-7DC5-414C-9956-8EF8DEFE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A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A4F"/>
    <w:rPr>
      <w:color w:val="0563C1" w:themeColor="hyperlink"/>
      <w:u w:val="single"/>
    </w:rPr>
  </w:style>
  <w:style w:type="paragraph" w:styleId="BalloonText">
    <w:name w:val="Balloon Text"/>
    <w:basedOn w:val="Normal"/>
    <w:link w:val="BalloonTextChar"/>
    <w:uiPriority w:val="99"/>
    <w:semiHidden/>
    <w:unhideWhenUsed/>
    <w:rsid w:val="00261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E12"/>
    <w:rPr>
      <w:rFonts w:ascii="Segoe UI" w:hAnsi="Segoe UI" w:cs="Segoe UI"/>
      <w:sz w:val="18"/>
      <w:szCs w:val="18"/>
    </w:rPr>
  </w:style>
  <w:style w:type="paragraph" w:styleId="ListParagraph">
    <w:name w:val="List Paragraph"/>
    <w:basedOn w:val="Normal"/>
    <w:uiPriority w:val="34"/>
    <w:qFormat/>
    <w:rsid w:val="00A273E1"/>
    <w:pPr>
      <w:widowControl w:val="0"/>
      <w:overflowPunct w:val="0"/>
      <w:autoSpaceDE w:val="0"/>
      <w:autoSpaceDN w:val="0"/>
      <w:adjustRightInd w:val="0"/>
      <w:ind w:left="720"/>
      <w:contextualSpacing/>
      <w:textAlignment w:val="baseline"/>
    </w:pPr>
    <w:rPr>
      <w:rFonts w:ascii="Courier New" w:eastAsia="Times New Roman" w:hAnsi="Courier New" w:cs="Times New Roman"/>
      <w:sz w:val="24"/>
      <w:szCs w:val="20"/>
    </w:rPr>
  </w:style>
  <w:style w:type="character" w:styleId="FollowedHyperlink">
    <w:name w:val="FollowedHyperlink"/>
    <w:basedOn w:val="DefaultParagraphFont"/>
    <w:uiPriority w:val="99"/>
    <w:semiHidden/>
    <w:unhideWhenUsed/>
    <w:rsid w:val="00552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ean@stlpartnership.com" TargetMode="External"/><Relationship Id="rId5" Type="http://schemas.openxmlformats.org/officeDocument/2006/relationships/hyperlink" Target="https://www.flystl.com/business/business-diversity-development-1/get-certifi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Rejis</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Montecillo, Joseph</dc:creator>
  <cp:lastModifiedBy>Cook, Dana</cp:lastModifiedBy>
  <cp:revision>4</cp:revision>
  <cp:lastPrinted>2021-04-29T18:53:00Z</cp:lastPrinted>
  <dcterms:created xsi:type="dcterms:W3CDTF">2021-12-21T17:29:00Z</dcterms:created>
  <dcterms:modified xsi:type="dcterms:W3CDTF">2023-01-03T19:53:00Z</dcterms:modified>
</cp:coreProperties>
</file>